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84"/>
        <w:gridCol w:w="555"/>
        <w:gridCol w:w="437"/>
        <w:gridCol w:w="839"/>
        <w:gridCol w:w="425"/>
        <w:gridCol w:w="142"/>
        <w:gridCol w:w="732"/>
        <w:gridCol w:w="495"/>
        <w:gridCol w:w="615"/>
        <w:gridCol w:w="12"/>
        <w:gridCol w:w="272"/>
        <w:gridCol w:w="142"/>
        <w:gridCol w:w="567"/>
        <w:gridCol w:w="283"/>
        <w:gridCol w:w="655"/>
        <w:gridCol w:w="1654"/>
        <w:gridCol w:w="101"/>
        <w:gridCol w:w="862"/>
        <w:gridCol w:w="761"/>
      </w:tblGrid>
      <w:tr w:rsidR="008A7162" w:rsidRPr="002811AC" w:rsidTr="00431B59">
        <w:trPr>
          <w:cantSplit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A7162" w:rsidRPr="002811AC" w:rsidRDefault="002811AC" w:rsidP="00763F21">
            <w:pPr>
              <w:pStyle w:val="Cmsor1"/>
              <w:spacing w:before="0" w:after="0"/>
              <w:rPr>
                <w:rFonts w:asciiTheme="majorHAnsi" w:hAnsiTheme="majorHAnsi"/>
                <w:b/>
                <w:bCs/>
              </w:rPr>
            </w:pPr>
            <w:r w:rsidRPr="002811AC">
              <w:rPr>
                <w:rFonts w:asciiTheme="majorHAnsi" w:hAnsiTheme="majorHAnsi"/>
                <w:b/>
                <w:bCs/>
              </w:rPr>
              <w:t>ÓBUDAI EGYETEM</w:t>
            </w:r>
          </w:p>
        </w:tc>
      </w:tr>
      <w:tr w:rsidR="00BE15CC" w:rsidRPr="002811AC" w:rsidTr="00BE15CC">
        <w:trPr>
          <w:cantSplit/>
          <w:jc w:val="center"/>
        </w:trPr>
        <w:tc>
          <w:tcPr>
            <w:tcW w:w="4695" w:type="dxa"/>
            <w:gridSpan w:val="9"/>
            <w:tcBorders>
              <w:top w:val="single" w:sz="12" w:space="0" w:color="auto"/>
            </w:tcBorders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 xml:space="preserve">Rejtő Sándor Könnyűipari és Környezetmérnöki </w:t>
            </w:r>
          </w:p>
        </w:tc>
        <w:tc>
          <w:tcPr>
            <w:tcW w:w="627" w:type="dxa"/>
            <w:gridSpan w:val="2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Kar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</w:tcBorders>
            <w:vAlign w:val="center"/>
          </w:tcPr>
          <w:p w:rsidR="00BE15CC" w:rsidRPr="00B4568F" w:rsidRDefault="00BE15CC" w:rsidP="00BE15CC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Style w:val="rynqvb"/>
              </w:rPr>
              <w:t>Környezetmérnöki és Természettudományi</w:t>
            </w:r>
          </w:p>
        </w:tc>
        <w:tc>
          <w:tcPr>
            <w:tcW w:w="761" w:type="dxa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  <w:i w:val="0"/>
                <w:iCs w:val="0"/>
              </w:rPr>
            </w:pPr>
            <w:r w:rsidRPr="002811AC">
              <w:rPr>
                <w:rFonts w:asciiTheme="majorHAnsi" w:hAnsiTheme="majorHAnsi"/>
              </w:rPr>
              <w:t>Intézet</w:t>
            </w:r>
          </w:p>
        </w:tc>
      </w:tr>
      <w:tr w:rsidR="00BE15CC" w:rsidRPr="002811AC" w:rsidTr="004A5C43">
        <w:trPr>
          <w:cantSplit/>
          <w:jc w:val="center"/>
        </w:trPr>
        <w:tc>
          <w:tcPr>
            <w:tcW w:w="2901" w:type="dxa"/>
            <w:gridSpan w:val="5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Tantárgy neve:</w:t>
            </w:r>
          </w:p>
        </w:tc>
        <w:tc>
          <w:tcPr>
            <w:tcW w:w="4340" w:type="dxa"/>
            <w:gridSpan w:val="11"/>
            <w:shd w:val="clear" w:color="auto" w:fill="FFFFFF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Biológia II.</w:t>
            </w:r>
          </w:p>
        </w:tc>
        <w:tc>
          <w:tcPr>
            <w:tcW w:w="1755" w:type="dxa"/>
            <w:gridSpan w:val="2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Neptun kód:</w:t>
            </w:r>
          </w:p>
        </w:tc>
        <w:tc>
          <w:tcPr>
            <w:tcW w:w="1623" w:type="dxa"/>
            <w:gridSpan w:val="2"/>
            <w:shd w:val="clear" w:color="auto" w:fill="FFFFFF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B61F7F">
              <w:rPr>
                <w:rFonts w:ascii="Calibri" w:hAnsi="Calibri"/>
              </w:rPr>
              <w:t>RKXBI2EBNE</w:t>
            </w:r>
          </w:p>
        </w:tc>
      </w:tr>
      <w:tr w:rsidR="00BE15CC" w:rsidRPr="002811AC" w:rsidTr="004A5C43">
        <w:trPr>
          <w:cantSplit/>
          <w:jc w:val="center"/>
        </w:trPr>
        <w:tc>
          <w:tcPr>
            <w:tcW w:w="2901" w:type="dxa"/>
            <w:gridSpan w:val="5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Tantárgy neve angolul:</w:t>
            </w:r>
          </w:p>
        </w:tc>
        <w:tc>
          <w:tcPr>
            <w:tcW w:w="4340" w:type="dxa"/>
            <w:gridSpan w:val="11"/>
            <w:shd w:val="clear" w:color="auto" w:fill="FFFFFF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Biology II.</w:t>
            </w:r>
          </w:p>
        </w:tc>
        <w:tc>
          <w:tcPr>
            <w:tcW w:w="1755" w:type="dxa"/>
            <w:gridSpan w:val="2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 xml:space="preserve">Kredit: </w:t>
            </w:r>
          </w:p>
        </w:tc>
        <w:tc>
          <w:tcPr>
            <w:tcW w:w="1623" w:type="dxa"/>
            <w:gridSpan w:val="2"/>
            <w:shd w:val="clear" w:color="auto" w:fill="FFFFFF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E15CC" w:rsidRPr="002811AC" w:rsidTr="004A5C43">
        <w:trPr>
          <w:cantSplit/>
          <w:jc w:val="center"/>
        </w:trPr>
        <w:tc>
          <w:tcPr>
            <w:tcW w:w="2901" w:type="dxa"/>
            <w:gridSpan w:val="5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Jelleg (kötelező/ választható:)</w:t>
            </w:r>
          </w:p>
        </w:tc>
        <w:tc>
          <w:tcPr>
            <w:tcW w:w="1299" w:type="dxa"/>
            <w:gridSpan w:val="3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kötelező</w:t>
            </w:r>
          </w:p>
        </w:tc>
        <w:tc>
          <w:tcPr>
            <w:tcW w:w="1394" w:type="dxa"/>
            <w:gridSpan w:val="4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Tagozat:</w:t>
            </w:r>
          </w:p>
        </w:tc>
        <w:tc>
          <w:tcPr>
            <w:tcW w:w="992" w:type="dxa"/>
            <w:gridSpan w:val="3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Nappali</w:t>
            </w:r>
          </w:p>
        </w:tc>
        <w:tc>
          <w:tcPr>
            <w:tcW w:w="2410" w:type="dxa"/>
            <w:gridSpan w:val="3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Félév a mintatantervben:</w:t>
            </w:r>
          </w:p>
        </w:tc>
        <w:tc>
          <w:tcPr>
            <w:tcW w:w="1623" w:type="dxa"/>
            <w:gridSpan w:val="2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2.</w:t>
            </w:r>
          </w:p>
        </w:tc>
      </w:tr>
      <w:tr w:rsidR="00BE15CC" w:rsidRPr="002811AC" w:rsidTr="004A5C43">
        <w:trPr>
          <w:cantSplit/>
          <w:jc w:val="center"/>
        </w:trPr>
        <w:tc>
          <w:tcPr>
            <w:tcW w:w="3468" w:type="dxa"/>
            <w:gridSpan w:val="7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Szakok melyeken a tárgyat oktatják:</w:t>
            </w:r>
          </w:p>
        </w:tc>
        <w:tc>
          <w:tcPr>
            <w:tcW w:w="7151" w:type="dxa"/>
            <w:gridSpan w:val="13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Környezetmérnök szak</w:t>
            </w:r>
          </w:p>
        </w:tc>
      </w:tr>
      <w:tr w:rsidR="00BE15CC" w:rsidRPr="002811AC" w:rsidTr="004A5C43">
        <w:trPr>
          <w:cantSplit/>
          <w:jc w:val="center"/>
        </w:trPr>
        <w:tc>
          <w:tcPr>
            <w:tcW w:w="1625" w:type="dxa"/>
            <w:gridSpan w:val="3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Tantárgyfelelős:</w:t>
            </w:r>
          </w:p>
        </w:tc>
        <w:tc>
          <w:tcPr>
            <w:tcW w:w="4111" w:type="dxa"/>
            <w:gridSpan w:val="10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Prof. Dr. habil. Bayoumi Hamuda Hosam</w:t>
            </w: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  <w:b w:val="0"/>
                <w:bCs w:val="0"/>
                <w:i/>
                <w:iCs/>
                <w:highlight w:val="lightGray"/>
              </w:rPr>
            </w:pPr>
            <w:r w:rsidRPr="002811AC">
              <w:rPr>
                <w:rFonts w:asciiTheme="majorHAnsi" w:hAnsiTheme="majorHAnsi"/>
                <w:b w:val="0"/>
                <w:bCs w:val="0"/>
                <w:i/>
                <w:iCs/>
                <w:highlight w:val="lightGray"/>
              </w:rPr>
              <w:t>Előadó:</w:t>
            </w:r>
          </w:p>
        </w:tc>
        <w:tc>
          <w:tcPr>
            <w:tcW w:w="4033" w:type="dxa"/>
            <w:gridSpan w:val="5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Prof. Dr. habil. Bayoumi Hamuda Hosam</w:t>
            </w:r>
          </w:p>
        </w:tc>
      </w:tr>
      <w:tr w:rsidR="00BE15CC" w:rsidRPr="002811AC" w:rsidTr="004A5C43">
        <w:trPr>
          <w:cantSplit/>
          <w:jc w:val="center"/>
        </w:trPr>
        <w:tc>
          <w:tcPr>
            <w:tcW w:w="3326" w:type="dxa"/>
            <w:gridSpan w:val="6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Előtanulmányi feltételek (kóddal is):</w:t>
            </w:r>
          </w:p>
        </w:tc>
        <w:tc>
          <w:tcPr>
            <w:tcW w:w="7293" w:type="dxa"/>
            <w:gridSpan w:val="14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Biológia I.</w:t>
            </w:r>
            <w:r w:rsidRPr="004664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RKXBl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4664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ABNE</w:t>
            </w:r>
          </w:p>
        </w:tc>
      </w:tr>
      <w:tr w:rsidR="00BE15CC" w:rsidRPr="002811AC" w:rsidTr="00384581">
        <w:trPr>
          <w:cantSplit/>
          <w:trHeight w:val="127"/>
          <w:jc w:val="center"/>
        </w:trPr>
        <w:tc>
          <w:tcPr>
            <w:tcW w:w="2062" w:type="dxa"/>
            <w:gridSpan w:val="4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Heti óraszámok:</w:t>
            </w:r>
          </w:p>
        </w:tc>
        <w:tc>
          <w:tcPr>
            <w:tcW w:w="839" w:type="dxa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Előadás</w:t>
            </w:r>
          </w:p>
        </w:tc>
        <w:tc>
          <w:tcPr>
            <w:tcW w:w="425" w:type="dxa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  <w:gridSpan w:val="4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Tantermi gyakorlat:</w:t>
            </w:r>
          </w:p>
        </w:tc>
        <w:tc>
          <w:tcPr>
            <w:tcW w:w="993" w:type="dxa"/>
            <w:gridSpan w:val="4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592" w:type="dxa"/>
            <w:gridSpan w:val="3"/>
            <w:shd w:val="clear" w:color="auto" w:fill="CCCCCC"/>
            <w:vAlign w:val="center"/>
          </w:tcPr>
          <w:p w:rsidR="00BE15CC" w:rsidRPr="002811AC" w:rsidRDefault="00BE15CC" w:rsidP="00BE15CC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Laborgyakorlat:</w:t>
            </w:r>
          </w:p>
        </w:tc>
        <w:tc>
          <w:tcPr>
            <w:tcW w:w="1724" w:type="dxa"/>
            <w:gridSpan w:val="3"/>
            <w:vAlign w:val="center"/>
          </w:tcPr>
          <w:p w:rsidR="00BE15CC" w:rsidRPr="002811AC" w:rsidRDefault="00BE15CC" w:rsidP="00BE15CC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E6E83" w:rsidRPr="002811AC" w:rsidTr="001D4B53">
        <w:trPr>
          <w:cantSplit/>
          <w:trHeight w:val="316"/>
          <w:jc w:val="center"/>
        </w:trPr>
        <w:tc>
          <w:tcPr>
            <w:tcW w:w="2901" w:type="dxa"/>
            <w:gridSpan w:val="5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 xml:space="preserve">Számonkérés módja (s; v, é)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E6E83" w:rsidRPr="002811AC" w:rsidRDefault="00CE6E83" w:rsidP="00CE6E83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V</w:t>
            </w: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képzés nyelve:</w:t>
            </w:r>
          </w:p>
        </w:tc>
        <w:tc>
          <w:tcPr>
            <w:tcW w:w="993" w:type="dxa"/>
            <w:gridSpan w:val="4"/>
            <w:tcBorders>
              <w:bottom w:val="single" w:sz="12" w:space="0" w:color="auto"/>
            </w:tcBorders>
            <w:vAlign w:val="center"/>
          </w:tcPr>
          <w:p w:rsidR="00CE6E83" w:rsidRPr="002811AC" w:rsidRDefault="00CE6E83" w:rsidP="00CE6E83">
            <w:pPr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magyar</w:t>
            </w:r>
          </w:p>
        </w:tc>
        <w:tc>
          <w:tcPr>
            <w:tcW w:w="2592" w:type="dxa"/>
            <w:gridSpan w:val="3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Tblzatcmke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tárgy órarendi helye:</w:t>
            </w:r>
          </w:p>
        </w:tc>
        <w:tc>
          <w:tcPr>
            <w:tcW w:w="1724" w:type="dxa"/>
            <w:gridSpan w:val="3"/>
            <w:tcBorders>
              <w:bottom w:val="single" w:sz="12" w:space="0" w:color="auto"/>
            </w:tcBorders>
          </w:tcPr>
          <w:p w:rsidR="00CE6E83" w:rsidRDefault="00CE6E83" w:rsidP="00CE6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H:13:30-15:10 (D.3.308)</w:t>
            </w:r>
          </w:p>
        </w:tc>
      </w:tr>
      <w:tr w:rsidR="00CE6E83" w:rsidRPr="002811AC" w:rsidTr="00431B59">
        <w:trPr>
          <w:cantSplit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/>
                <w:bCs/>
                <w:i/>
                <w:iCs/>
              </w:rPr>
              <w:t>A tananyag</w:t>
            </w:r>
          </w:p>
        </w:tc>
      </w:tr>
      <w:tr w:rsidR="00CE6E83" w:rsidRPr="002811AC" w:rsidTr="00763F21">
        <w:trPr>
          <w:cantSplit/>
          <w:trHeight w:val="38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Cmsor2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Oktatási cél:</w:t>
            </w:r>
          </w:p>
        </w:tc>
      </w:tr>
      <w:tr w:rsidR="00CE6E83" w:rsidRPr="002811AC" w:rsidTr="00763F21">
        <w:trPr>
          <w:cantSplit/>
          <w:trHeight w:hRule="exact" w:val="732"/>
          <w:jc w:val="center"/>
        </w:trPr>
        <w:tc>
          <w:tcPr>
            <w:tcW w:w="10619" w:type="dxa"/>
            <w:gridSpan w:val="20"/>
            <w:tcBorders>
              <w:bottom w:val="single" w:sz="12" w:space="0" w:color="auto"/>
            </w:tcBorders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tantárgy keretében a hallgatók képet kapnak a növény- és állatfajok rendszerezésének alapelveiről, elsajátíthatják az alapvető növényföldrajzi és társulástani ismereteket, megismerhetik a fontosabb hazai vízi és szárazföldi élőhelytípusokat s azok jellemzőit.</w:t>
            </w:r>
          </w:p>
        </w:tc>
      </w:tr>
      <w:tr w:rsidR="00CE6E83" w:rsidRPr="002811AC" w:rsidTr="00431B59">
        <w:trPr>
          <w:cantSplit/>
          <w:trHeight w:val="278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/>
                <w:bCs/>
                <w:i/>
                <w:iCs/>
              </w:rPr>
              <w:t>A tárgy részletes leírása, ütemezés:</w:t>
            </w:r>
          </w:p>
        </w:tc>
      </w:tr>
      <w:tr w:rsidR="00CE6E83" w:rsidRPr="002811AC" w:rsidTr="00431B59">
        <w:trPr>
          <w:cantSplit/>
          <w:trHeight w:val="278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/>
                <w:bCs/>
                <w:i/>
                <w:iCs/>
              </w:rPr>
              <w:t>Előadás témakörei:</w:t>
            </w:r>
          </w:p>
        </w:tc>
      </w:tr>
      <w:tr w:rsidR="00CE6E83" w:rsidRPr="002811AC" w:rsidTr="00384581">
        <w:trPr>
          <w:cantSplit/>
          <w:trHeight w:val="410"/>
          <w:jc w:val="center"/>
        </w:trPr>
        <w:tc>
          <w:tcPr>
            <w:tcW w:w="786" w:type="dxa"/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Okt. hét</w:t>
            </w:r>
          </w:p>
        </w:tc>
        <w:tc>
          <w:tcPr>
            <w:tcW w:w="1276" w:type="dxa"/>
            <w:gridSpan w:val="3"/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Időpont (hónap, nap)</w:t>
            </w:r>
          </w:p>
        </w:tc>
        <w:tc>
          <w:tcPr>
            <w:tcW w:w="8557" w:type="dxa"/>
            <w:gridSpan w:val="16"/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Témakör</w:t>
            </w:r>
          </w:p>
        </w:tc>
      </w:tr>
      <w:tr w:rsidR="00CE6E83" w:rsidRPr="002811AC" w:rsidTr="00384581">
        <w:trPr>
          <w:cantSplit/>
          <w:trHeight w:val="454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1.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2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27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BE15C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Evolúció: élettörténet és elméletek. Populáció: örökléstan és fajok. Az élő szervezetek osztályozása: biodiverzitás, szisztematika és modern osztályozás.</w:t>
            </w:r>
          </w:p>
        </w:tc>
      </w:tr>
      <w:tr w:rsidR="00CE6E83" w:rsidRPr="002811AC" w:rsidTr="00384581">
        <w:trPr>
          <w:cantSplit/>
          <w:trHeight w:val="454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06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Az élő szervezetek birodalmai. A gombák általános jellemzői és osztályozása. A gombák gazdasági és ökológiai jelentősége. Sejtciklus és sejtosztódás</w:t>
            </w:r>
          </w:p>
        </w:tc>
      </w:tr>
      <w:tr w:rsidR="00CE6E83" w:rsidRPr="002811AC" w:rsidTr="00BE15CC">
        <w:trPr>
          <w:cantSplit/>
          <w:trHeight w:val="256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3.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13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Gombák: fonalas gombák és mikorrhiza</w:t>
            </w:r>
          </w:p>
        </w:tc>
      </w:tr>
      <w:tr w:rsidR="00CE6E83" w:rsidRPr="002811AC" w:rsidTr="00BE15CC">
        <w:trPr>
          <w:cantSplit/>
          <w:trHeight w:val="274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20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Az algák általános jellemzői és osztályozása. Az algák gazdasági és ökológiai jelentősége.</w:t>
            </w:r>
          </w:p>
        </w:tc>
      </w:tr>
      <w:tr w:rsidR="00CE6E83" w:rsidRPr="002811AC" w:rsidTr="00BE15CC">
        <w:trPr>
          <w:cantSplit/>
          <w:trHeight w:val="278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5.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3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27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Zuzmók és mohák</w:t>
            </w:r>
            <w:r w:rsidRPr="00305DAA">
              <w:rPr>
                <w:rFonts w:asciiTheme="majorHAnsi" w:hAnsiTheme="majorHAnsi"/>
              </w:rPr>
              <w:t>.</w:t>
            </w:r>
          </w:p>
        </w:tc>
      </w:tr>
      <w:tr w:rsidR="00CE6E83" w:rsidRPr="002811AC" w:rsidTr="00384581">
        <w:trPr>
          <w:cantSplit/>
          <w:trHeight w:val="348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03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Növényvilág: A növények osztályozása. Az üzemszervezés főbb típusai. A növény szerkezete és funkciói.</w:t>
            </w:r>
          </w:p>
        </w:tc>
      </w:tr>
      <w:tr w:rsidR="00CE6E83" w:rsidRPr="002811AC" w:rsidTr="00384581">
        <w:trPr>
          <w:cantSplit/>
          <w:trHeight w:val="454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7.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A növények szaporodása és reakciói. A növények jelentősége</w:t>
            </w:r>
            <w:r w:rsidRPr="00305DAA">
              <w:rPr>
                <w:rFonts w:asciiTheme="majorHAnsi" w:hAnsiTheme="majorHAnsi"/>
              </w:rPr>
              <w:t>.</w:t>
            </w:r>
          </w:p>
          <w:p w:rsidR="00CE6E83" w:rsidRPr="00BE15C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</w:rPr>
            </w:pPr>
            <w:r w:rsidRPr="00BE15CC">
              <w:rPr>
                <w:rFonts w:asciiTheme="majorHAnsi" w:hAnsiTheme="majorHAnsi"/>
                <w:b/>
              </w:rPr>
              <w:t>1. Zárthelyi dolgozatírás</w:t>
            </w:r>
          </w:p>
        </w:tc>
      </w:tr>
      <w:tr w:rsidR="00CE6E83" w:rsidRPr="002811AC" w:rsidTr="00BE15CC">
        <w:trPr>
          <w:cantSplit/>
          <w:trHeight w:val="310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17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Állatvilág: Általános karakterek. Az állatszervezés főbb típusai</w:t>
            </w:r>
          </w:p>
        </w:tc>
      </w:tr>
      <w:tr w:rsidR="00CE6E83" w:rsidRPr="002811AC" w:rsidTr="00384581">
        <w:trPr>
          <w:cantSplit/>
          <w:trHeight w:val="90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9.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Az állatok osztályozása: gerinctelenek, szivacsok,</w:t>
            </w:r>
          </w:p>
        </w:tc>
      </w:tr>
      <w:tr w:rsidR="00CE6E83" w:rsidRPr="002811AC" w:rsidTr="00384581">
        <w:trPr>
          <w:cantSplit/>
          <w:trHeight w:val="90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01</w:t>
            </w:r>
            <w:r w:rsidRPr="002811AC">
              <w:rPr>
                <w:rFonts w:asciiTheme="majorHAnsi" w:hAnsiTheme="majorHAnsi"/>
              </w:rPr>
              <w:t>..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Cnidarians és Ctenophores. Laposférgek, orsóférgek és forgóférgek</w:t>
            </w:r>
          </w:p>
        </w:tc>
      </w:tr>
      <w:tr w:rsidR="00CE6E83" w:rsidRPr="002811AC" w:rsidTr="00BE15CC">
        <w:trPr>
          <w:cantSplit/>
          <w:trHeight w:val="208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11.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08</w:t>
            </w:r>
            <w:r w:rsidRPr="002811AC">
              <w:rPr>
                <w:rFonts w:asciiTheme="majorHAnsi" w:hAnsiTheme="majorHAnsi"/>
              </w:rPr>
              <w:t>..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305DAA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Puhatestűek és Annelidák, ízeltlábúak, rovarok, tüskésbőrűek és gerinctelen húrok</w:t>
            </w:r>
          </w:p>
        </w:tc>
      </w:tr>
      <w:tr w:rsidR="00CE6E83" w:rsidRPr="002811AC" w:rsidTr="00384581">
        <w:trPr>
          <w:cantSplit/>
          <w:trHeight w:val="454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BE15C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Gerincesek: halak, kétéltűek, hüllők, madarak</w:t>
            </w:r>
          </w:p>
          <w:p w:rsidR="00CE6E83" w:rsidRPr="00BE15C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</w:rPr>
            </w:pPr>
            <w:r w:rsidRPr="00BE15CC">
              <w:rPr>
                <w:rFonts w:asciiTheme="majorHAnsi" w:hAnsiTheme="majorHAnsi"/>
                <w:b/>
              </w:rPr>
              <w:t>2. Zárthelyi dolgozatírás</w:t>
            </w:r>
          </w:p>
        </w:tc>
      </w:tr>
      <w:tr w:rsidR="00CE6E83" w:rsidRPr="002811AC" w:rsidTr="00BE15CC">
        <w:trPr>
          <w:cantSplit/>
          <w:trHeight w:val="332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13.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22</w:t>
            </w:r>
            <w:r w:rsidRPr="002811AC">
              <w:rPr>
                <w:rFonts w:asciiTheme="majorHAnsi" w:hAnsiTheme="majorHAnsi"/>
              </w:rPr>
              <w:t>..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Emlősök és állatok viselkedése</w:t>
            </w:r>
          </w:p>
        </w:tc>
      </w:tr>
      <w:tr w:rsidR="00CE6E83" w:rsidRPr="002811AC" w:rsidTr="00384581">
        <w:trPr>
          <w:cantSplit/>
          <w:trHeight w:val="544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23</w:t>
            </w:r>
            <w:r w:rsidRPr="002811AC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811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29</w:t>
            </w:r>
            <w:r w:rsidRPr="002811AC">
              <w:rPr>
                <w:rFonts w:asciiTheme="majorHAnsi" w:hAnsiTheme="majorHAnsi"/>
              </w:rPr>
              <w:t>.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BE15CC">
              <w:rPr>
                <w:rFonts w:asciiTheme="majorHAnsi" w:hAnsiTheme="majorHAnsi"/>
              </w:rPr>
              <w:t>Állatbiológia: csontváz, izom- és bőrrendszerek, vér- és légzőrendszerek, a szervezetvédekező rendszerei, emésztő- és kiválasztórendszerek, idegrendszer és érzékszervek, endokrin rendszer, reproduktív rendszer.</w:t>
            </w:r>
          </w:p>
        </w:tc>
      </w:tr>
      <w:tr w:rsidR="00CE6E83" w:rsidRPr="002811AC" w:rsidTr="00763F21">
        <w:trPr>
          <w:cantSplit/>
          <w:trHeight w:val="144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/>
                <w:bCs/>
                <w:i/>
                <w:iCs/>
              </w:rPr>
              <w:t>Gyakorlatok:</w:t>
            </w:r>
          </w:p>
        </w:tc>
      </w:tr>
      <w:tr w:rsidR="00CE6E83" w:rsidRPr="002811AC" w:rsidTr="00384581">
        <w:trPr>
          <w:cantSplit/>
          <w:trHeight w:val="466"/>
          <w:jc w:val="center"/>
        </w:trPr>
        <w:tc>
          <w:tcPr>
            <w:tcW w:w="786" w:type="dxa"/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Okt. hét</w:t>
            </w:r>
          </w:p>
        </w:tc>
        <w:tc>
          <w:tcPr>
            <w:tcW w:w="1276" w:type="dxa"/>
            <w:gridSpan w:val="3"/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Időpont (hónap, nap)</w:t>
            </w:r>
          </w:p>
        </w:tc>
        <w:tc>
          <w:tcPr>
            <w:tcW w:w="8557" w:type="dxa"/>
            <w:gridSpan w:val="16"/>
            <w:shd w:val="clear" w:color="auto" w:fill="CCCCCC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Témakör</w:t>
            </w:r>
          </w:p>
        </w:tc>
      </w:tr>
      <w:tr w:rsidR="00CE6E83" w:rsidRPr="002811AC" w:rsidTr="00384581">
        <w:trPr>
          <w:cantSplit/>
          <w:trHeight w:val="308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7D0292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2023.03.01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Az eukarióták ered</w:t>
            </w:r>
            <w:r>
              <w:rPr>
                <w:rFonts w:asciiTheme="majorHAnsi" w:hAnsiTheme="majorHAnsi"/>
              </w:rPr>
              <w:t>ete, sejtszerveződésük. Zuzmók,</w:t>
            </w:r>
            <w:r w:rsidRPr="002811AC">
              <w:rPr>
                <w:rFonts w:asciiTheme="majorHAnsi" w:hAnsiTheme="majorHAnsi"/>
              </w:rPr>
              <w:t xml:space="preserve"> Mikorrhiza</w:t>
            </w:r>
          </w:p>
        </w:tc>
      </w:tr>
      <w:tr w:rsidR="00CE6E83" w:rsidRPr="002811AC" w:rsidTr="00384581">
        <w:trPr>
          <w:cantSplit/>
          <w:trHeight w:val="308"/>
          <w:jc w:val="center"/>
        </w:trPr>
        <w:tc>
          <w:tcPr>
            <w:tcW w:w="786" w:type="dxa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CE6E83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2023.03.08</w:t>
            </w:r>
          </w:p>
        </w:tc>
        <w:tc>
          <w:tcPr>
            <w:tcW w:w="8557" w:type="dxa"/>
            <w:gridSpan w:val="16"/>
            <w:vAlign w:val="center"/>
          </w:tcPr>
          <w:p w:rsidR="00CE6E83" w:rsidRPr="002811AC" w:rsidRDefault="00CE6E83" w:rsidP="00CE6E83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Az eukarióták ered</w:t>
            </w:r>
            <w:r>
              <w:rPr>
                <w:rFonts w:asciiTheme="majorHAnsi" w:hAnsiTheme="majorHAnsi"/>
              </w:rPr>
              <w:t>ete, sejtszerveződésük. Zuzmók,</w:t>
            </w:r>
            <w:r w:rsidRPr="002811AC">
              <w:rPr>
                <w:rFonts w:asciiTheme="majorHAnsi" w:hAnsiTheme="majorHAnsi"/>
              </w:rPr>
              <w:t xml:space="preserve"> Mikorrhiza</w:t>
            </w:r>
          </w:p>
        </w:tc>
      </w:tr>
      <w:tr w:rsidR="007D0292" w:rsidRPr="002811AC" w:rsidTr="00384581">
        <w:trPr>
          <w:cantSplit/>
          <w:trHeight w:val="256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2023.03.15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2811AC">
              <w:rPr>
                <w:rFonts w:asciiTheme="majorHAnsi" w:hAnsiTheme="majorHAnsi"/>
              </w:rPr>
              <w:t>Mitózis</w:t>
            </w:r>
            <w:r>
              <w:rPr>
                <w:rFonts w:asciiTheme="majorHAnsi" w:hAnsiTheme="majorHAnsi"/>
              </w:rPr>
              <w:t xml:space="preserve">, </w:t>
            </w:r>
            <w:r w:rsidRPr="002811AC">
              <w:rPr>
                <w:rFonts w:asciiTheme="majorHAnsi" w:hAnsiTheme="majorHAnsi"/>
              </w:rPr>
              <w:t>Meiózis</w:t>
            </w:r>
          </w:p>
        </w:tc>
      </w:tr>
      <w:tr w:rsidR="007D0292" w:rsidRPr="002811AC" w:rsidTr="00384581">
        <w:trPr>
          <w:cantSplit/>
          <w:trHeight w:val="256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2023.03.22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Mitózis</w:t>
            </w:r>
            <w:r>
              <w:rPr>
                <w:rFonts w:asciiTheme="majorHAnsi" w:hAnsiTheme="majorHAnsi"/>
              </w:rPr>
              <w:t xml:space="preserve">, </w:t>
            </w:r>
            <w:r w:rsidRPr="002811AC">
              <w:rPr>
                <w:rFonts w:asciiTheme="majorHAnsi" w:hAnsiTheme="majorHAnsi"/>
              </w:rPr>
              <w:t>Meiózis</w:t>
            </w:r>
          </w:p>
        </w:tc>
      </w:tr>
      <w:tr w:rsidR="007D0292" w:rsidRPr="002811AC" w:rsidTr="00384581">
        <w:trPr>
          <w:cantSplit/>
          <w:trHeight w:val="274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5.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2023.03.29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2811AC">
              <w:rPr>
                <w:rFonts w:asciiTheme="majorHAnsi" w:hAnsiTheme="majorHAnsi"/>
              </w:rPr>
              <w:t>Többsejtű szerveződés formái</w:t>
            </w:r>
            <w:r>
              <w:rPr>
                <w:rFonts w:asciiTheme="majorHAnsi" w:hAnsiTheme="majorHAnsi"/>
              </w:rPr>
              <w:t xml:space="preserve">, </w:t>
            </w:r>
            <w:r w:rsidRPr="002811AC">
              <w:rPr>
                <w:rFonts w:asciiTheme="majorHAnsi" w:hAnsiTheme="majorHAnsi"/>
              </w:rPr>
              <w:t>Növényi morfológia</w:t>
            </w:r>
          </w:p>
        </w:tc>
      </w:tr>
      <w:tr w:rsidR="007D0292" w:rsidRPr="002811AC" w:rsidTr="00384581">
        <w:trPr>
          <w:cantSplit/>
          <w:trHeight w:val="274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2023.04.05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2811AC">
              <w:rPr>
                <w:rFonts w:asciiTheme="majorHAnsi" w:hAnsiTheme="majorHAnsi"/>
              </w:rPr>
              <w:t>Többsejtű szerveződés formái</w:t>
            </w:r>
            <w:r>
              <w:rPr>
                <w:rFonts w:asciiTheme="majorHAnsi" w:hAnsiTheme="majorHAnsi"/>
              </w:rPr>
              <w:t xml:space="preserve">, </w:t>
            </w:r>
            <w:r w:rsidRPr="002811AC">
              <w:rPr>
                <w:rFonts w:asciiTheme="majorHAnsi" w:hAnsiTheme="majorHAnsi"/>
              </w:rPr>
              <w:t>Növényi morfológia</w:t>
            </w:r>
          </w:p>
        </w:tc>
      </w:tr>
      <w:tr w:rsidR="007D0292" w:rsidRPr="002811AC" w:rsidTr="00384581">
        <w:trPr>
          <w:cantSplit/>
          <w:trHeight w:val="322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7.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2023.04.12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Növényi állandósult szövetek vizsgálata, a mikroszkópi vizsgálódás alapján jegyzőkönyv készítése</w:t>
            </w:r>
          </w:p>
        </w:tc>
      </w:tr>
      <w:tr w:rsidR="007D0292" w:rsidRPr="002811AC" w:rsidTr="00384581">
        <w:trPr>
          <w:cantSplit/>
          <w:trHeight w:val="322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2023.04.19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Növényi állandósult szövetek vizsgálata, a mikroszkópi vizsgálódás alapján jegyzőkönyv készítése</w:t>
            </w:r>
          </w:p>
        </w:tc>
      </w:tr>
      <w:tr w:rsidR="007D0292" w:rsidRPr="002811AC" w:rsidTr="00384581">
        <w:trPr>
          <w:cantSplit/>
          <w:trHeight w:val="228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9.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2023.04.26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2811AC">
              <w:rPr>
                <w:rFonts w:asciiTheme="majorHAnsi" w:hAnsiTheme="majorHAnsi"/>
              </w:rPr>
              <w:t>Állatélettani</w:t>
            </w:r>
            <w:r>
              <w:rPr>
                <w:rFonts w:asciiTheme="majorHAnsi" w:hAnsiTheme="majorHAnsi"/>
              </w:rPr>
              <w:t xml:space="preserve"> vizsgálatok</w:t>
            </w:r>
          </w:p>
        </w:tc>
      </w:tr>
      <w:tr w:rsidR="007D0292" w:rsidRPr="002811AC" w:rsidTr="00384581">
        <w:trPr>
          <w:cantSplit/>
          <w:trHeight w:val="228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2023.05.03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/>
                <w:bCs/>
              </w:rPr>
            </w:pPr>
            <w:r w:rsidRPr="002811AC">
              <w:rPr>
                <w:rFonts w:asciiTheme="majorHAnsi" w:hAnsiTheme="majorHAnsi"/>
              </w:rPr>
              <w:t>Állatélettani</w:t>
            </w:r>
            <w:r>
              <w:rPr>
                <w:rFonts w:asciiTheme="majorHAnsi" w:hAnsiTheme="majorHAnsi"/>
              </w:rPr>
              <w:t xml:space="preserve"> vizsgálatok</w:t>
            </w:r>
          </w:p>
        </w:tc>
      </w:tr>
      <w:tr w:rsidR="007D0292" w:rsidRPr="002811AC" w:rsidTr="00384581">
        <w:trPr>
          <w:cantSplit/>
          <w:trHeight w:val="178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2023.05.10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termelő, fogyasztó és lebontó szintet képviselő élőlények rendszere a forró övezetben.</w:t>
            </w:r>
          </w:p>
        </w:tc>
      </w:tr>
      <w:tr w:rsidR="007D0292" w:rsidRPr="002811AC" w:rsidTr="00384581">
        <w:trPr>
          <w:cantSplit/>
          <w:trHeight w:val="178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2023.05.17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termelő, fogyasztó és lebontó szintet képviselő élőlények rendszere a forró övezetben.</w:t>
            </w:r>
          </w:p>
        </w:tc>
      </w:tr>
      <w:tr w:rsidR="007D0292" w:rsidRPr="002811AC" w:rsidTr="00384581">
        <w:trPr>
          <w:cantSplit/>
          <w:trHeight w:val="226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lastRenderedPageBreak/>
              <w:t>13.</w:t>
            </w:r>
            <w:r>
              <w:rPr>
                <w:rFonts w:asciiTheme="majorHAnsi" w:hAnsiTheme="majorHAnsi"/>
              </w:rPr>
              <w:t>-G1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2023.05.24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Az emberi tevékenység hatása a bioszféra szerkezetére és működésére. Közvetlen kölcsönhatások a mikroorganizmusok és a magasabb rendű növények, állatok és az emberi tevékenység között. Az embe</w:t>
            </w:r>
            <w:r>
              <w:rPr>
                <w:rFonts w:asciiTheme="majorHAnsi" w:hAnsiTheme="majorHAnsi"/>
              </w:rPr>
              <w:t>ri beavatkozások következményei</w:t>
            </w:r>
          </w:p>
        </w:tc>
      </w:tr>
      <w:tr w:rsidR="007D0292" w:rsidRPr="002811AC" w:rsidTr="00384581">
        <w:trPr>
          <w:cantSplit/>
          <w:trHeight w:val="662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G2</w:t>
            </w:r>
          </w:p>
        </w:tc>
        <w:tc>
          <w:tcPr>
            <w:tcW w:w="1276" w:type="dxa"/>
            <w:gridSpan w:val="3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2023.05.31</w:t>
            </w:r>
          </w:p>
        </w:tc>
        <w:tc>
          <w:tcPr>
            <w:tcW w:w="8557" w:type="dxa"/>
            <w:gridSpan w:val="16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Az emberi tevékenység hatása a bioszféra szerkezetére és működésére. Közvetlen kölcsönhatások a mikroorganizmusok és a magasabb rendű növények, állatok és az emberi tevékenység között. Az embe</w:t>
            </w:r>
            <w:r>
              <w:rPr>
                <w:rFonts w:asciiTheme="majorHAnsi" w:hAnsiTheme="majorHAnsi"/>
              </w:rPr>
              <w:t>ri beavatkozások következményei</w:t>
            </w:r>
          </w:p>
        </w:tc>
      </w:tr>
      <w:tr w:rsidR="007D0292" w:rsidRPr="002811AC" w:rsidTr="00431B59">
        <w:trPr>
          <w:cantSplit/>
          <w:trHeight w:val="278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/>
                <w:bCs/>
                <w:i/>
                <w:iCs/>
              </w:rPr>
              <w:t>Félévközi követelmények</w:t>
            </w:r>
          </w:p>
        </w:tc>
      </w:tr>
      <w:tr w:rsidR="007D0292" w:rsidRPr="002811AC" w:rsidTr="00431B59">
        <w:trPr>
          <w:cantSplit/>
          <w:trHeight w:val="278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Foglalkozásokon való részvétel:</w:t>
            </w:r>
          </w:p>
        </w:tc>
      </w:tr>
      <w:tr w:rsidR="007D0292" w:rsidRPr="002811AC" w:rsidTr="00431B59">
        <w:trPr>
          <w:cantSplit/>
          <w:trHeight w:val="531"/>
          <w:jc w:val="center"/>
        </w:trPr>
        <w:tc>
          <w:tcPr>
            <w:tcW w:w="10619" w:type="dxa"/>
            <w:gridSpan w:val="20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gyakorlatokon és előadásokon a részvétel kötelező! Tanulmányi kötelezettségek</w:t>
            </w:r>
            <w:r w:rsidRPr="002811AC">
              <w:rPr>
                <w:rFonts w:asciiTheme="majorHAnsi" w:hAnsiTheme="majorHAnsi"/>
                <w:b/>
                <w:bCs/>
              </w:rPr>
              <w:t xml:space="preserve"> </w:t>
            </w:r>
            <w:r w:rsidRPr="002811AC">
              <w:rPr>
                <w:rFonts w:asciiTheme="majorHAnsi" w:hAnsiTheme="majorHAnsi"/>
              </w:rPr>
              <w:t xml:space="preserve">max. 2 hiányzás esetén teljesíthetők az előadásokon és a laborgyakorlatokon is. A foglalkozásokról történő 3. hiányzás esetén a kurzus már nem teljesíthető, aláírás nem szerezhető. A gyakorlatok egy része, külső helyszíneken történő megfigyeléseken alapszik. A helyszínek megközelítése, a szükséges felszerelések ismertetése az adott gyakorlatot megelőzően történik. </w:t>
            </w:r>
          </w:p>
        </w:tc>
      </w:tr>
      <w:tr w:rsidR="007D0292" w:rsidRPr="002811AC" w:rsidTr="00431B59">
        <w:trPr>
          <w:cantSplit/>
          <w:trHeight w:val="257"/>
          <w:jc w:val="center"/>
        </w:trPr>
        <w:tc>
          <w:tcPr>
            <w:tcW w:w="10619" w:type="dxa"/>
            <w:gridSpan w:val="20"/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Zárthelyik, jegyzőkönyvek, beszámolók, stb. (száma, időpontja)</w:t>
            </w:r>
          </w:p>
        </w:tc>
      </w:tr>
      <w:tr w:rsidR="007D0292" w:rsidRPr="002811AC" w:rsidTr="00384581">
        <w:trPr>
          <w:cantSplit/>
          <w:trHeight w:val="268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9833" w:type="dxa"/>
            <w:gridSpan w:val="19"/>
            <w:vAlign w:val="center"/>
          </w:tcPr>
          <w:p w:rsidR="007D0292" w:rsidRPr="002811AC" w:rsidRDefault="007D0292" w:rsidP="007D0292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bCs w:val="0"/>
              </w:rPr>
            </w:pPr>
            <w:r w:rsidRPr="002811AC">
              <w:rPr>
                <w:rFonts w:asciiTheme="majorHAnsi" w:hAnsiTheme="majorHAnsi"/>
                <w:b w:val="0"/>
                <w:bCs w:val="0"/>
              </w:rPr>
              <w:t>Külső helyszíni gyakorlatról és a mikroszkópi vizsgálatokról jegyzőkönyvek készítése PowerPoint prezentációban: a gyakorlatot követő 2. óráig. A jegyzőkönyvek csak a megnevezett időpontokban adhatók le. Az időpontok csúsztatása nem lehetséges, ezt követően 1 alkalommal a vizsgaidőszak első hetének pótlásra kijelölt időpontjában adhatók le. Aláírás nem szerezhető a jegyzőkönyvek határidőre történő leadásának elmulasztása esetén.</w:t>
            </w:r>
          </w:p>
          <w:p w:rsidR="007D0292" w:rsidRPr="002811AC" w:rsidRDefault="007D0292" w:rsidP="007D0292">
            <w:pPr>
              <w:widowControl/>
              <w:autoSpaceDE/>
              <w:autoSpaceDN/>
              <w:adjustRightInd/>
              <w:spacing w:before="0" w:after="0"/>
              <w:rPr>
                <w:rFonts w:asciiTheme="majorHAnsi" w:hAnsiTheme="majorHAnsi"/>
                <w:b w:val="0"/>
                <w:bCs w:val="0"/>
              </w:rPr>
            </w:pPr>
            <w:r w:rsidRPr="002811AC">
              <w:rPr>
                <w:rFonts w:asciiTheme="majorHAnsi" w:hAnsiTheme="majorHAnsi"/>
                <w:b w:val="0"/>
              </w:rPr>
              <w:t xml:space="preserve">1 (elméleti + gyakorlati) zárthelyi dolgozat legalább elégséges szintű teljesítése: Zh időpontjai: </w:t>
            </w:r>
            <w:r>
              <w:rPr>
                <w:rFonts w:asciiTheme="majorHAnsi" w:hAnsiTheme="majorHAnsi"/>
                <w:b w:val="0"/>
              </w:rPr>
              <w:t>7 és 12</w:t>
            </w:r>
            <w:r w:rsidRPr="002811AC">
              <w:rPr>
                <w:rFonts w:asciiTheme="majorHAnsi" w:hAnsiTheme="majorHAnsi"/>
                <w:b w:val="0"/>
              </w:rPr>
              <w:t>. héten</w:t>
            </w:r>
          </w:p>
        </w:tc>
      </w:tr>
      <w:tr w:rsidR="007D0292" w:rsidRPr="002811AC" w:rsidTr="00384581">
        <w:trPr>
          <w:cantSplit/>
          <w:trHeight w:val="268"/>
          <w:jc w:val="center"/>
        </w:trPr>
        <w:tc>
          <w:tcPr>
            <w:tcW w:w="786" w:type="dxa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9833" w:type="dxa"/>
            <w:gridSpan w:val="19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beszámoló pótlása, pót-zárthelyi a 14. héten, illetve a vizsgaidőszak második hetének szerdáig.</w:t>
            </w:r>
          </w:p>
        </w:tc>
      </w:tr>
      <w:tr w:rsidR="007D0292" w:rsidRPr="002811AC" w:rsidTr="00431B59">
        <w:trPr>
          <w:cantSplit/>
          <w:trHeight w:val="257"/>
          <w:jc w:val="center"/>
        </w:trPr>
        <w:tc>
          <w:tcPr>
            <w:tcW w:w="10619" w:type="dxa"/>
            <w:gridSpan w:val="20"/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Az aláírás megszerzésének/félévközi jegy kialakításának módszere:</w:t>
            </w:r>
          </w:p>
        </w:tc>
      </w:tr>
      <w:tr w:rsidR="007D0292" w:rsidRPr="002811AC" w:rsidTr="00431B59">
        <w:trPr>
          <w:cantSplit/>
          <w:trHeight w:val="294"/>
          <w:jc w:val="center"/>
        </w:trPr>
        <w:tc>
          <w:tcPr>
            <w:tcW w:w="10619" w:type="dxa"/>
            <w:gridSpan w:val="20"/>
            <w:vAlign w:val="center"/>
          </w:tcPr>
          <w:p w:rsidR="007D0292" w:rsidRPr="002811AC" w:rsidRDefault="007D0292" w:rsidP="007D0292">
            <w:pPr>
              <w:jc w:val="both"/>
              <w:rPr>
                <w:rFonts w:asciiTheme="majorHAnsi" w:hAnsiTheme="majorHAnsi"/>
                <w:b w:val="0"/>
                <w:bCs w:val="0"/>
                <w:i/>
              </w:rPr>
            </w:pP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Aláírás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feltételei: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a megfelelő szintű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teljesítményt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legalább egy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ZH írás, a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 xml:space="preserve">házi feladat </w:t>
            </w:r>
            <w:r w:rsidRPr="002811AC">
              <w:rPr>
                <w:rFonts w:asciiTheme="majorHAnsi" w:hAnsiTheme="majorHAnsi"/>
                <w:b w:val="0"/>
                <w:bCs w:val="0"/>
              </w:rPr>
              <w:t>megoldás, és egy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 xml:space="preserve"> esszé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, valamint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a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gyakorlati</w:t>
            </w:r>
            <w:r w:rsidRPr="002811AC">
              <w:rPr>
                <w:rFonts w:asciiTheme="majorHAnsi" w:hAnsiTheme="majorHAnsi"/>
                <w:b w:val="0"/>
                <w:bCs w:val="0"/>
              </w:rPr>
              <w:t xml:space="preserve"> meg</w:t>
            </w:r>
            <w:r w:rsidRPr="002811AC">
              <w:rPr>
                <w:rStyle w:val="hps"/>
                <w:rFonts w:asciiTheme="majorHAnsi" w:hAnsiTheme="majorHAnsi"/>
                <w:b w:val="0"/>
                <w:bCs w:val="0"/>
              </w:rPr>
              <w:t>jelentés.</w:t>
            </w:r>
          </w:p>
        </w:tc>
      </w:tr>
      <w:tr w:rsidR="007D0292" w:rsidRPr="002811AC" w:rsidTr="00431B59">
        <w:trPr>
          <w:cantSplit/>
          <w:trHeight w:val="255"/>
          <w:jc w:val="center"/>
        </w:trPr>
        <w:tc>
          <w:tcPr>
            <w:tcW w:w="10619" w:type="dxa"/>
            <w:gridSpan w:val="20"/>
            <w:shd w:val="clear" w:color="auto" w:fill="CCCCCC"/>
            <w:vAlign w:val="center"/>
          </w:tcPr>
          <w:p w:rsidR="007D0292" w:rsidRPr="002811AC" w:rsidRDefault="007D0292" w:rsidP="007D0292">
            <w:pPr>
              <w:jc w:val="both"/>
              <w:rPr>
                <w:rFonts w:asciiTheme="majorHAnsi" w:hAnsiTheme="majorHAnsi"/>
                <w:i/>
              </w:rPr>
            </w:pPr>
            <w:r w:rsidRPr="002811AC">
              <w:rPr>
                <w:rStyle w:val="hps"/>
                <w:rFonts w:asciiTheme="majorHAnsi" w:hAnsiTheme="majorHAnsi"/>
              </w:rPr>
              <w:t>A félév</w:t>
            </w:r>
            <w:r w:rsidRPr="002811AC">
              <w:rPr>
                <w:rFonts w:asciiTheme="majorHAnsi" w:hAnsiTheme="majorHAnsi"/>
              </w:rPr>
              <w:t xml:space="preserve"> </w:t>
            </w:r>
            <w:r w:rsidRPr="002811AC">
              <w:rPr>
                <w:rStyle w:val="hps"/>
                <w:rFonts w:asciiTheme="majorHAnsi" w:hAnsiTheme="majorHAnsi"/>
              </w:rPr>
              <w:t>jelek</w:t>
            </w:r>
            <w:r w:rsidRPr="002811AC">
              <w:rPr>
                <w:rFonts w:asciiTheme="majorHAnsi" w:hAnsiTheme="majorHAnsi"/>
              </w:rPr>
              <w:t xml:space="preserve">: </w:t>
            </w:r>
            <w:r w:rsidRPr="002811AC">
              <w:rPr>
                <w:rStyle w:val="hps"/>
                <w:rFonts w:asciiTheme="majorHAnsi" w:hAnsiTheme="majorHAnsi"/>
              </w:rPr>
              <w:t>85-100</w:t>
            </w:r>
            <w:r w:rsidRPr="002811AC">
              <w:rPr>
                <w:rFonts w:asciiTheme="majorHAnsi" w:hAnsiTheme="majorHAnsi"/>
              </w:rPr>
              <w:t xml:space="preserve">% </w:t>
            </w:r>
            <w:r w:rsidRPr="002811AC">
              <w:rPr>
                <w:rStyle w:val="hps"/>
                <w:rFonts w:asciiTheme="majorHAnsi" w:hAnsiTheme="majorHAnsi"/>
              </w:rPr>
              <w:t>jeles (</w:t>
            </w:r>
            <w:r w:rsidRPr="002811AC">
              <w:rPr>
                <w:rFonts w:asciiTheme="majorHAnsi" w:hAnsiTheme="majorHAnsi"/>
              </w:rPr>
              <w:t xml:space="preserve">5), </w:t>
            </w:r>
            <w:r w:rsidRPr="002811AC">
              <w:rPr>
                <w:rStyle w:val="hps"/>
                <w:rFonts w:asciiTheme="majorHAnsi" w:hAnsiTheme="majorHAnsi"/>
              </w:rPr>
              <w:t>75-84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jó (4</w:t>
            </w:r>
            <w:r w:rsidRPr="002811AC">
              <w:rPr>
                <w:rFonts w:asciiTheme="majorHAnsi" w:hAnsiTheme="majorHAnsi"/>
              </w:rPr>
              <w:t xml:space="preserve">), </w:t>
            </w:r>
            <w:r w:rsidRPr="002811AC">
              <w:rPr>
                <w:rStyle w:val="hps"/>
                <w:rFonts w:asciiTheme="majorHAnsi" w:hAnsiTheme="majorHAnsi"/>
              </w:rPr>
              <w:t>60-74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közepes (</w:t>
            </w:r>
            <w:r w:rsidRPr="002811AC">
              <w:rPr>
                <w:rFonts w:asciiTheme="majorHAnsi" w:hAnsiTheme="majorHAnsi"/>
              </w:rPr>
              <w:t xml:space="preserve">3), </w:t>
            </w:r>
            <w:r w:rsidRPr="002811AC">
              <w:rPr>
                <w:rStyle w:val="hps"/>
                <w:rFonts w:asciiTheme="majorHAnsi" w:hAnsiTheme="majorHAnsi"/>
              </w:rPr>
              <w:t>50-59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elégséges (2)</w:t>
            </w:r>
            <w:r w:rsidRPr="002811AC">
              <w:rPr>
                <w:rFonts w:asciiTheme="majorHAnsi" w:hAnsiTheme="majorHAnsi"/>
              </w:rPr>
              <w:t xml:space="preserve">, </w:t>
            </w:r>
            <w:r w:rsidRPr="002811AC">
              <w:rPr>
                <w:rStyle w:val="hps"/>
                <w:rFonts w:asciiTheme="majorHAnsi" w:hAnsiTheme="majorHAnsi"/>
              </w:rPr>
              <w:t>0-49</w:t>
            </w:r>
            <w:r w:rsidRPr="002811AC">
              <w:rPr>
                <w:rFonts w:asciiTheme="majorHAnsi" w:hAnsiTheme="majorHAnsi"/>
              </w:rPr>
              <w:t xml:space="preserve">%: </w:t>
            </w:r>
            <w:r w:rsidRPr="002811AC">
              <w:rPr>
                <w:rStyle w:val="hps"/>
                <w:rFonts w:asciiTheme="majorHAnsi" w:hAnsiTheme="majorHAnsi"/>
              </w:rPr>
              <w:t>elégtelen (1</w:t>
            </w:r>
            <w:r w:rsidRPr="002811AC">
              <w:rPr>
                <w:rFonts w:asciiTheme="majorHAnsi" w:hAnsiTheme="majorHAnsi"/>
              </w:rPr>
              <w:t>).</w:t>
            </w:r>
          </w:p>
        </w:tc>
      </w:tr>
      <w:tr w:rsidR="007D0292" w:rsidRPr="002811AC" w:rsidTr="00B76892">
        <w:trPr>
          <w:cantSplit/>
          <w:trHeight w:val="360"/>
          <w:jc w:val="center"/>
        </w:trPr>
        <w:tc>
          <w:tcPr>
            <w:tcW w:w="10619" w:type="dxa"/>
            <w:gridSpan w:val="20"/>
            <w:tcBorders>
              <w:bottom w:val="single" w:sz="12" w:space="0" w:color="auto"/>
            </w:tcBorders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Szóbeli</w:t>
            </w:r>
            <w:r w:rsidRPr="002811AC">
              <w:rPr>
                <w:rFonts w:asciiTheme="majorHAnsi" w:hAnsiTheme="majorHAnsi"/>
              </w:rPr>
              <w:t xml:space="preserve"> vizsgarész tételek alapján.</w:t>
            </w:r>
          </w:p>
        </w:tc>
      </w:tr>
      <w:tr w:rsidR="007D0292" w:rsidRPr="002811AC" w:rsidTr="00431B59">
        <w:trPr>
          <w:cantSplit/>
          <w:trHeight w:val="255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/>
                <w:i/>
                <w:iCs/>
              </w:rPr>
              <w:t>Irodalom</w:t>
            </w:r>
          </w:p>
        </w:tc>
      </w:tr>
      <w:tr w:rsidR="007D0292" w:rsidRPr="002811AC" w:rsidTr="00205224">
        <w:trPr>
          <w:cantSplit/>
          <w:trHeight w:val="320"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Kötelező:</w:t>
            </w:r>
          </w:p>
        </w:tc>
        <w:tc>
          <w:tcPr>
            <w:tcW w:w="9549" w:type="dxa"/>
            <w:gridSpan w:val="18"/>
            <w:tcBorders>
              <w:top w:val="single" w:sz="12" w:space="0" w:color="auto"/>
            </w:tcBorders>
            <w:vAlign w:val="center"/>
          </w:tcPr>
          <w:p w:rsidR="007D0292" w:rsidRPr="002811AC" w:rsidRDefault="00375F12" w:rsidP="007D0292">
            <w:pPr>
              <w:pStyle w:val="Listaszerbekezds"/>
              <w:numPr>
                <w:ilvl w:val="0"/>
                <w:numId w:val="3"/>
              </w:numPr>
              <w:spacing w:before="0" w:after="0"/>
              <w:ind w:left="276" w:hanging="276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hyperlink r:id="rId7" w:history="1">
              <w:r w:rsidR="007D0292" w:rsidRPr="002811AC">
                <w:rPr>
                  <w:rStyle w:val="Hiperhivatkozs"/>
                  <w:rFonts w:asciiTheme="majorHAnsi" w:hAnsiTheme="majorHAnsi"/>
                  <w:b w:val="0"/>
                  <w:bCs w:val="0"/>
                  <w:i/>
                  <w:iCs/>
                  <w:color w:val="0D0D0D" w:themeColor="text1" w:themeTint="F2"/>
                  <w:u w:val="none"/>
                </w:rPr>
                <w:t>Gutai Zita</w:t>
              </w:r>
            </w:hyperlink>
            <w:r w:rsidR="007D0292" w:rsidRPr="002811AC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 xml:space="preserve"> (</w:t>
            </w:r>
            <w:r w:rsidR="007D0292" w:rsidRPr="002811AC">
              <w:rPr>
                <w:rFonts w:asciiTheme="majorHAnsi" w:hAnsiTheme="majorHAnsi"/>
                <w:b w:val="0"/>
                <w:bCs w:val="0"/>
                <w:i/>
                <w:iCs/>
              </w:rPr>
              <w:t>2014): 3333 fogalom biológiából. Maxim Könyvkiadó, 304 oldal, Kötés: PUHATÁBLÁS, RAGASZTÓKÖTÖTT. ISBN: 9789632611181</w:t>
            </w:r>
          </w:p>
          <w:p w:rsidR="007D0292" w:rsidRPr="002811AC" w:rsidRDefault="00375F12" w:rsidP="007D0292">
            <w:pPr>
              <w:pStyle w:val="Listaszerbekezds"/>
              <w:numPr>
                <w:ilvl w:val="0"/>
                <w:numId w:val="3"/>
              </w:numPr>
              <w:ind w:left="276" w:hanging="276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hyperlink r:id="rId8" w:history="1">
              <w:r w:rsidR="007D0292" w:rsidRPr="002811AC">
                <w:rPr>
                  <w:rStyle w:val="Hiperhivatkozs"/>
                  <w:rFonts w:asciiTheme="majorHAnsi" w:hAnsiTheme="majorHAnsi"/>
                  <w:b w:val="0"/>
                  <w:bCs w:val="0"/>
                  <w:i/>
                  <w:iCs/>
                  <w:color w:val="0D0D0D" w:themeColor="text1" w:themeTint="F2"/>
                  <w:u w:val="none"/>
                </w:rPr>
                <w:t>Berend Mihály</w:t>
              </w:r>
            </w:hyperlink>
            <w:r w:rsidR="007D0292" w:rsidRPr="002811AC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 xml:space="preserve">, </w:t>
            </w:r>
            <w:hyperlink r:id="rId9" w:history="1">
              <w:r w:rsidR="007D0292" w:rsidRPr="002811AC">
                <w:rPr>
                  <w:rStyle w:val="Hiperhivatkozs"/>
                  <w:rFonts w:asciiTheme="majorHAnsi" w:hAnsiTheme="majorHAnsi"/>
                  <w:b w:val="0"/>
                  <w:bCs w:val="0"/>
                  <w:i/>
                  <w:iCs/>
                  <w:color w:val="0D0D0D" w:themeColor="text1" w:themeTint="F2"/>
                  <w:u w:val="none"/>
                </w:rPr>
                <w:t>Szerényi Gábor</w:t>
              </w:r>
            </w:hyperlink>
            <w:r w:rsidR="007D0292" w:rsidRPr="002811AC">
              <w:rPr>
                <w:rFonts w:asciiTheme="majorHAnsi" w:hAnsiTheme="majorHAnsi"/>
                <w:b w:val="0"/>
                <w:bCs w:val="0"/>
                <w:i/>
                <w:iCs/>
                <w:color w:val="0D0D0D" w:themeColor="text1" w:themeTint="F2"/>
              </w:rPr>
              <w:t xml:space="preserve"> (</w:t>
            </w:r>
            <w:r w:rsidR="007D0292" w:rsidRPr="002811AC">
              <w:rPr>
                <w:rFonts w:asciiTheme="majorHAnsi" w:hAnsiTheme="majorHAnsi"/>
                <w:b w:val="0"/>
                <w:bCs w:val="0"/>
                <w:i/>
                <w:iCs/>
              </w:rPr>
              <w:t>2009): Biológia II. Állattan - Ökológia Műszaki Könyvkiadó, - MK-2387-4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i/>
                <w:iCs/>
              </w:rPr>
            </w:pPr>
            <w:r w:rsidRPr="002811AC">
              <w:rPr>
                <w:rFonts w:asciiTheme="majorHAnsi" w:hAnsiTheme="majorHAnsi"/>
                <w:i/>
                <w:iCs/>
                <w:color w:val="000000"/>
              </w:rPr>
              <w:t>RÓZSA, L. (2005): Élősködés, az állati és emberi fejlődés motorja. – Medicina Könyvkiadó Rt., Budapest.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i/>
                <w:iCs/>
              </w:rPr>
              <w:t>Előadás PPT</w:t>
            </w:r>
          </w:p>
        </w:tc>
      </w:tr>
      <w:tr w:rsidR="007D0292" w:rsidRPr="002811AC" w:rsidTr="00205224">
        <w:trPr>
          <w:cantSplit/>
          <w:trHeight w:val="320"/>
          <w:jc w:val="center"/>
        </w:trPr>
        <w:tc>
          <w:tcPr>
            <w:tcW w:w="1070" w:type="dxa"/>
            <w:gridSpan w:val="2"/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Ajánlott:</w:t>
            </w:r>
          </w:p>
        </w:tc>
        <w:tc>
          <w:tcPr>
            <w:tcW w:w="9549" w:type="dxa"/>
            <w:gridSpan w:val="18"/>
            <w:vAlign w:val="center"/>
          </w:tcPr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Hortobágyi Tibor szerk.: Növényföldrajz, társulástan és ökológia Budapest, 1981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Hortobágyi Tibor szerk.: Növényrendszertan és növényföldrajz Budapest, 1973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Kacsur- Kováts A biológia alapjai Veszprémi Egyetemi Kiadó, 1996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Kerényi Attila Általános A környezetvédelem Mozaik Szeged, 1995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Mészáros Ernő Bevezetés a környezettanba Veszprém, 1994</w:t>
            </w:r>
          </w:p>
        </w:tc>
      </w:tr>
      <w:tr w:rsidR="007D0292" w:rsidRPr="002811AC" w:rsidTr="00205224">
        <w:trPr>
          <w:cantSplit/>
          <w:trHeight w:val="320"/>
          <w:jc w:val="center"/>
        </w:trPr>
        <w:tc>
          <w:tcPr>
            <w:tcW w:w="1070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 xml:space="preserve">Egyéb segédletek: </w:t>
            </w:r>
          </w:p>
        </w:tc>
        <w:tc>
          <w:tcPr>
            <w:tcW w:w="9549" w:type="dxa"/>
            <w:gridSpan w:val="18"/>
            <w:tcBorders>
              <w:bottom w:val="single" w:sz="12" w:space="0" w:color="auto"/>
            </w:tcBorders>
            <w:vAlign w:val="center"/>
          </w:tcPr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Az Egyetlen Föld Japán természetfilm-sorozat (Televideo Kiadó)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 megsebzett bolygó természetfilm-sorozat (Televideo Kiadó)</w:t>
            </w:r>
          </w:p>
          <w:p w:rsidR="007D0292" w:rsidRPr="002811AC" w:rsidRDefault="007D0292" w:rsidP="007D0292">
            <w:pPr>
              <w:pStyle w:val="Lers"/>
              <w:numPr>
                <w:ilvl w:val="0"/>
                <w:numId w:val="3"/>
              </w:numPr>
              <w:spacing w:before="0" w:after="0"/>
              <w:ind w:left="276" w:hanging="276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Életközösségek I. Kis növényismeret ismeretterjesztő film (Reflektor video)</w:t>
            </w:r>
          </w:p>
        </w:tc>
      </w:tr>
      <w:tr w:rsidR="007D0292" w:rsidRPr="002811AC" w:rsidTr="00431B59">
        <w:trPr>
          <w:cantSplit/>
          <w:trHeight w:val="320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jc w:val="center"/>
              <w:rPr>
                <w:rFonts w:asciiTheme="majorHAnsi" w:hAnsiTheme="majorHAnsi"/>
                <w:bCs/>
                <w:i/>
                <w:iCs/>
              </w:rPr>
            </w:pPr>
            <w:r w:rsidRPr="002811AC">
              <w:rPr>
                <w:rFonts w:asciiTheme="majorHAnsi" w:hAnsiTheme="majorHAnsi"/>
                <w:bCs/>
                <w:i/>
                <w:iCs/>
              </w:rPr>
              <w:t>A tárgy minőségbiztosítási módszerei:</w:t>
            </w:r>
          </w:p>
        </w:tc>
      </w:tr>
      <w:tr w:rsidR="007D0292" w:rsidRPr="002811AC" w:rsidTr="00431B59">
        <w:trPr>
          <w:cantSplit/>
          <w:trHeight w:val="790"/>
          <w:jc w:val="center"/>
        </w:trPr>
        <w:tc>
          <w:tcPr>
            <w:tcW w:w="10619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 xml:space="preserve">A tárggyal kapcsolatban évenként oktatói felülvizsgálat történik, melynek során figyelembe vesszük a tudásátadás hatékonyságát, illetve a hallgatói és a végzettek által adott vélemények kiértékeléséből származó információkat. Az értékelés alapján a tárggyal kapcsolatos fejlesztési akciók indíthatók, melynek területei </w:t>
            </w:r>
          </w:p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- a tudásátadás módszertana,</w:t>
            </w:r>
          </w:p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- a tananyag tartalma,</w:t>
            </w:r>
          </w:p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- az előadások és gyakorlatok egymásra épültsége.</w:t>
            </w:r>
          </w:p>
          <w:p w:rsidR="007D0292" w:rsidRPr="002811AC" w:rsidRDefault="007D0292" w:rsidP="007D0292">
            <w:pPr>
              <w:pStyle w:val="Lers"/>
              <w:spacing w:before="0" w:after="0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A változtatásokról és azok eredményeiről évenkénti értékelést végzünk, erről feljegyzést készítünk és a bevált elemeket a szakfelelős által szervezett ütemezéssel a tantárgyi program részévé tesszük.</w:t>
            </w:r>
          </w:p>
        </w:tc>
      </w:tr>
    </w:tbl>
    <w:p w:rsidR="008A7162" w:rsidRPr="002811AC" w:rsidRDefault="008A7162" w:rsidP="00FC67CD">
      <w:pPr>
        <w:spacing w:before="0" w:after="0"/>
        <w:rPr>
          <w:rFonts w:asciiTheme="majorHAnsi" w:hAnsiTheme="majorHAnsi"/>
        </w:rPr>
      </w:pPr>
      <w:r w:rsidRPr="002811AC">
        <w:rPr>
          <w:rFonts w:asciiTheme="majorHAnsi" w:hAnsiTheme="majorHAnsi"/>
        </w:rPr>
        <w:t>Dátum: 20</w:t>
      </w:r>
      <w:r w:rsidR="0060706C">
        <w:rPr>
          <w:rFonts w:asciiTheme="majorHAnsi" w:hAnsiTheme="majorHAnsi"/>
        </w:rPr>
        <w:t>23</w:t>
      </w:r>
      <w:r w:rsidRPr="002811AC">
        <w:rPr>
          <w:rFonts w:asciiTheme="majorHAnsi" w:hAnsiTheme="majorHAnsi"/>
        </w:rPr>
        <w:t xml:space="preserve">. </w:t>
      </w:r>
      <w:r w:rsidR="0060706C">
        <w:rPr>
          <w:rFonts w:asciiTheme="majorHAnsi" w:hAnsiTheme="majorHAnsi"/>
        </w:rPr>
        <w:t>Feb. 20.</w:t>
      </w:r>
    </w:p>
    <w:p w:rsidR="008A7162" w:rsidRPr="002811AC" w:rsidRDefault="008A7162" w:rsidP="00763F21">
      <w:pPr>
        <w:spacing w:before="0" w:after="0"/>
        <w:rPr>
          <w:rFonts w:asciiTheme="majorHAnsi" w:hAnsiTheme="majorHAnsi"/>
        </w:rPr>
      </w:pPr>
    </w:p>
    <w:tbl>
      <w:tblPr>
        <w:tblW w:w="10645" w:type="dxa"/>
        <w:jc w:val="center"/>
        <w:tblLook w:val="0000" w:firstRow="0" w:lastRow="0" w:firstColumn="0" w:lastColumn="0" w:noHBand="0" w:noVBand="0"/>
      </w:tblPr>
      <w:tblGrid>
        <w:gridCol w:w="4848"/>
        <w:gridCol w:w="557"/>
        <w:gridCol w:w="5240"/>
      </w:tblGrid>
      <w:tr w:rsidR="008A7162" w:rsidRPr="002811AC" w:rsidTr="00EF6F2A">
        <w:trPr>
          <w:jc w:val="center"/>
        </w:trPr>
        <w:tc>
          <w:tcPr>
            <w:tcW w:w="484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A7162" w:rsidRPr="002811AC" w:rsidRDefault="008A7162" w:rsidP="00763F21">
            <w:pPr>
              <w:spacing w:before="0" w:after="0"/>
              <w:ind w:right="-176"/>
              <w:rPr>
                <w:rFonts w:asciiTheme="majorHAnsi" w:hAnsiTheme="majorHAnsi"/>
              </w:rPr>
            </w:pPr>
            <w:r w:rsidRPr="002811AC">
              <w:rPr>
                <w:rFonts w:asciiTheme="majorHAnsi" w:hAnsiTheme="majorHAnsi"/>
              </w:rPr>
              <w:t>Összeállító: Prof. Dr. habil</w:t>
            </w:r>
            <w:r w:rsidR="00B76892" w:rsidRPr="002811AC">
              <w:rPr>
                <w:rFonts w:asciiTheme="majorHAnsi" w:hAnsiTheme="majorHAnsi"/>
              </w:rPr>
              <w:t>.</w:t>
            </w:r>
            <w:r w:rsidRPr="002811AC">
              <w:rPr>
                <w:rFonts w:asciiTheme="majorHAnsi" w:hAnsiTheme="majorHAnsi"/>
              </w:rPr>
              <w:t xml:space="preserve"> Bayoumi Hamuda Hosam</w:t>
            </w:r>
          </w:p>
        </w:tc>
        <w:tc>
          <w:tcPr>
            <w:tcW w:w="557" w:type="dxa"/>
            <w:vAlign w:val="center"/>
          </w:tcPr>
          <w:p w:rsidR="008A7162" w:rsidRPr="002811AC" w:rsidRDefault="008A7162" w:rsidP="00763F21">
            <w:pPr>
              <w:spacing w:before="0"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8A7162" w:rsidRPr="002811AC" w:rsidRDefault="0060706C" w:rsidP="00763F21">
            <w:pPr>
              <w:spacing w:before="0" w:after="0"/>
              <w:ind w:right="-88"/>
              <w:rPr>
                <w:rFonts w:asciiTheme="majorHAnsi" w:hAnsiTheme="majorHAnsi"/>
              </w:rPr>
            </w:pPr>
            <w:r w:rsidRPr="008E4488">
              <w:rPr>
                <w:rFonts w:asciiTheme="majorHAnsi" w:hAnsiTheme="majorHAnsi"/>
              </w:rPr>
              <w:t xml:space="preserve">Intézetigazgató: </w:t>
            </w:r>
            <w:r w:rsidRPr="008E4488">
              <w:rPr>
                <w:rFonts w:ascii="Cambria" w:hAnsi="Cambria"/>
              </w:rPr>
              <w:t>Bodáné Dr. Kendrovics Rita</w:t>
            </w:r>
            <w:bookmarkStart w:id="0" w:name="_GoBack"/>
            <w:bookmarkEnd w:id="0"/>
          </w:p>
        </w:tc>
      </w:tr>
    </w:tbl>
    <w:p w:rsidR="008A7162" w:rsidRPr="002811AC" w:rsidRDefault="008A7162" w:rsidP="00763F21">
      <w:pPr>
        <w:spacing w:before="0" w:after="0"/>
        <w:rPr>
          <w:rFonts w:asciiTheme="majorHAnsi" w:hAnsiTheme="majorHAnsi"/>
        </w:rPr>
      </w:pPr>
    </w:p>
    <w:sectPr w:rsidR="008A7162" w:rsidRPr="002811AC" w:rsidSect="0088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12" w:rsidRDefault="00375F12">
      <w:r>
        <w:separator/>
      </w:r>
    </w:p>
  </w:endnote>
  <w:endnote w:type="continuationSeparator" w:id="0">
    <w:p w:rsidR="00375F12" w:rsidRDefault="003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12" w:rsidRDefault="00375F12">
      <w:r>
        <w:separator/>
      </w:r>
    </w:p>
  </w:footnote>
  <w:footnote w:type="continuationSeparator" w:id="0">
    <w:p w:rsidR="00375F12" w:rsidRDefault="0037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750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6A0"/>
    <w:multiLevelType w:val="hybridMultilevel"/>
    <w:tmpl w:val="E2E4E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3E8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449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F45DFE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A83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0935"/>
    <w:multiLevelType w:val="hybridMultilevel"/>
    <w:tmpl w:val="E2E4E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1874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B01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1299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7A04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7D0C"/>
    <w:multiLevelType w:val="hybridMultilevel"/>
    <w:tmpl w:val="5F3C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ED35FB"/>
    <w:multiLevelType w:val="hybridMultilevel"/>
    <w:tmpl w:val="E2E4E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05DBA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6380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2442E"/>
    <w:multiLevelType w:val="hybridMultilevel"/>
    <w:tmpl w:val="BD38A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16393"/>
    <w:multiLevelType w:val="hybridMultilevel"/>
    <w:tmpl w:val="87DEB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E"/>
    <w:rsid w:val="000121A0"/>
    <w:rsid w:val="00017065"/>
    <w:rsid w:val="00032667"/>
    <w:rsid w:val="00035B10"/>
    <w:rsid w:val="00035C76"/>
    <w:rsid w:val="00046819"/>
    <w:rsid w:val="0006753C"/>
    <w:rsid w:val="00073B0B"/>
    <w:rsid w:val="000B23A8"/>
    <w:rsid w:val="000C656B"/>
    <w:rsid w:val="000D07D1"/>
    <w:rsid w:val="000F21A7"/>
    <w:rsid w:val="001000D6"/>
    <w:rsid w:val="001041CB"/>
    <w:rsid w:val="00136967"/>
    <w:rsid w:val="00156BA3"/>
    <w:rsid w:val="001572CA"/>
    <w:rsid w:val="001830B6"/>
    <w:rsid w:val="001A34FD"/>
    <w:rsid w:val="001D52E9"/>
    <w:rsid w:val="00205224"/>
    <w:rsid w:val="00207026"/>
    <w:rsid w:val="002127DF"/>
    <w:rsid w:val="002217B1"/>
    <w:rsid w:val="00226E37"/>
    <w:rsid w:val="002443FB"/>
    <w:rsid w:val="00250766"/>
    <w:rsid w:val="00264209"/>
    <w:rsid w:val="002733DC"/>
    <w:rsid w:val="002811AC"/>
    <w:rsid w:val="002D5729"/>
    <w:rsid w:val="002F3089"/>
    <w:rsid w:val="00303809"/>
    <w:rsid w:val="00305DAA"/>
    <w:rsid w:val="003347DA"/>
    <w:rsid w:val="00375C0D"/>
    <w:rsid w:val="00375F12"/>
    <w:rsid w:val="00380284"/>
    <w:rsid w:val="00384581"/>
    <w:rsid w:val="003A0B8B"/>
    <w:rsid w:val="003A4982"/>
    <w:rsid w:val="003B42B5"/>
    <w:rsid w:val="003B6260"/>
    <w:rsid w:val="003B70FB"/>
    <w:rsid w:val="003F393E"/>
    <w:rsid w:val="00405B37"/>
    <w:rsid w:val="00425B9C"/>
    <w:rsid w:val="00431B59"/>
    <w:rsid w:val="004517FD"/>
    <w:rsid w:val="004626D6"/>
    <w:rsid w:val="004916A8"/>
    <w:rsid w:val="004A5C43"/>
    <w:rsid w:val="004D5DC7"/>
    <w:rsid w:val="004E1298"/>
    <w:rsid w:val="00505917"/>
    <w:rsid w:val="00526375"/>
    <w:rsid w:val="00526ADA"/>
    <w:rsid w:val="00536897"/>
    <w:rsid w:val="0055367D"/>
    <w:rsid w:val="00561AA6"/>
    <w:rsid w:val="0056789C"/>
    <w:rsid w:val="005747CF"/>
    <w:rsid w:val="005E2A79"/>
    <w:rsid w:val="005F150F"/>
    <w:rsid w:val="0060706C"/>
    <w:rsid w:val="006238A9"/>
    <w:rsid w:val="006536ED"/>
    <w:rsid w:val="006634CF"/>
    <w:rsid w:val="0068016B"/>
    <w:rsid w:val="00685F84"/>
    <w:rsid w:val="0068676F"/>
    <w:rsid w:val="006D0724"/>
    <w:rsid w:val="006E06E9"/>
    <w:rsid w:val="006F10CA"/>
    <w:rsid w:val="00754C63"/>
    <w:rsid w:val="00760F82"/>
    <w:rsid w:val="00763F21"/>
    <w:rsid w:val="00790DBF"/>
    <w:rsid w:val="00793A40"/>
    <w:rsid w:val="007A23FD"/>
    <w:rsid w:val="007A7B8B"/>
    <w:rsid w:val="007C55E9"/>
    <w:rsid w:val="007D0292"/>
    <w:rsid w:val="00821F0E"/>
    <w:rsid w:val="00847F95"/>
    <w:rsid w:val="008726CC"/>
    <w:rsid w:val="00877222"/>
    <w:rsid w:val="00880B4E"/>
    <w:rsid w:val="00886D62"/>
    <w:rsid w:val="00895C2D"/>
    <w:rsid w:val="00897A5E"/>
    <w:rsid w:val="008A7162"/>
    <w:rsid w:val="008B684E"/>
    <w:rsid w:val="008E4AB8"/>
    <w:rsid w:val="008F4587"/>
    <w:rsid w:val="008F7926"/>
    <w:rsid w:val="0090745B"/>
    <w:rsid w:val="00910530"/>
    <w:rsid w:val="0092035A"/>
    <w:rsid w:val="00956C75"/>
    <w:rsid w:val="00961A3A"/>
    <w:rsid w:val="00975E16"/>
    <w:rsid w:val="00991BBE"/>
    <w:rsid w:val="009B6A00"/>
    <w:rsid w:val="00A41F4A"/>
    <w:rsid w:val="00A64A3F"/>
    <w:rsid w:val="00AA6A9D"/>
    <w:rsid w:val="00AB22D7"/>
    <w:rsid w:val="00B032B6"/>
    <w:rsid w:val="00B056FD"/>
    <w:rsid w:val="00B524E6"/>
    <w:rsid w:val="00B76892"/>
    <w:rsid w:val="00BB1B6B"/>
    <w:rsid w:val="00BE15CC"/>
    <w:rsid w:val="00C716C7"/>
    <w:rsid w:val="00C83D8D"/>
    <w:rsid w:val="00CA7526"/>
    <w:rsid w:val="00CE6E83"/>
    <w:rsid w:val="00D047DD"/>
    <w:rsid w:val="00D21112"/>
    <w:rsid w:val="00D348BE"/>
    <w:rsid w:val="00D45DA7"/>
    <w:rsid w:val="00D60449"/>
    <w:rsid w:val="00D71D3E"/>
    <w:rsid w:val="00D82936"/>
    <w:rsid w:val="00DA04DB"/>
    <w:rsid w:val="00DB27CA"/>
    <w:rsid w:val="00DC08BA"/>
    <w:rsid w:val="00DF2A56"/>
    <w:rsid w:val="00E00F5B"/>
    <w:rsid w:val="00E566A9"/>
    <w:rsid w:val="00E56B6C"/>
    <w:rsid w:val="00E6633F"/>
    <w:rsid w:val="00E8001D"/>
    <w:rsid w:val="00E8225C"/>
    <w:rsid w:val="00E9653B"/>
    <w:rsid w:val="00ED43A7"/>
    <w:rsid w:val="00EF6F2A"/>
    <w:rsid w:val="00F2227B"/>
    <w:rsid w:val="00F3537A"/>
    <w:rsid w:val="00F75F7C"/>
    <w:rsid w:val="00F857FE"/>
    <w:rsid w:val="00F95FD5"/>
    <w:rsid w:val="00FB6F7B"/>
    <w:rsid w:val="00FB74AA"/>
    <w:rsid w:val="00FC134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520D"/>
  <w15:docId w15:val="{CBAACDFB-0849-4A52-BEE1-4B45F142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84E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b/>
      <w:bCs/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B684E"/>
    <w:pPr>
      <w:keepNext/>
      <w:jc w:val="center"/>
      <w:outlineLvl w:val="0"/>
    </w:pPr>
    <w:rPr>
      <w:b w:val="0"/>
      <w:bCs w:val="0"/>
      <w:smallCaps/>
    </w:rPr>
  </w:style>
  <w:style w:type="paragraph" w:styleId="Cmsor2">
    <w:name w:val="heading 2"/>
    <w:basedOn w:val="Norml"/>
    <w:next w:val="Norml"/>
    <w:link w:val="Cmsor2Char"/>
    <w:uiPriority w:val="99"/>
    <w:qFormat/>
    <w:rsid w:val="008B684E"/>
    <w:pPr>
      <w:keepNext/>
      <w:outlineLvl w:val="1"/>
    </w:pPr>
    <w:rPr>
      <w:b w:val="0"/>
      <w:bCs w:val="0"/>
      <w:i/>
      <w:iCs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BE15C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B1B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B1B6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eladcmebortkon">
    <w:name w:val="envelope return"/>
    <w:basedOn w:val="Norml"/>
    <w:uiPriority w:val="99"/>
    <w:rsid w:val="00B524E6"/>
    <w:rPr>
      <w:b w:val="0"/>
      <w:bCs w:val="0"/>
      <w:sz w:val="96"/>
      <w:szCs w:val="96"/>
    </w:rPr>
  </w:style>
  <w:style w:type="paragraph" w:customStyle="1" w:styleId="Tblzatcmke">
    <w:name w:val="Táblázatcímke"/>
    <w:basedOn w:val="Norml"/>
    <w:uiPriority w:val="99"/>
    <w:rsid w:val="008B684E"/>
    <w:pPr>
      <w:jc w:val="right"/>
    </w:pPr>
    <w:rPr>
      <w:b w:val="0"/>
      <w:bCs w:val="0"/>
      <w:i/>
      <w:iCs/>
    </w:rPr>
  </w:style>
  <w:style w:type="paragraph" w:customStyle="1" w:styleId="Lers">
    <w:name w:val="Leírás"/>
    <w:basedOn w:val="Norml"/>
    <w:uiPriority w:val="99"/>
    <w:rsid w:val="008B684E"/>
    <w:pPr>
      <w:jc w:val="both"/>
    </w:pPr>
    <w:rPr>
      <w:b w:val="0"/>
      <w:bCs w:val="0"/>
    </w:rPr>
  </w:style>
  <w:style w:type="character" w:styleId="Oldalszm">
    <w:name w:val="page number"/>
    <w:basedOn w:val="Bekezdsalapbettpusa"/>
    <w:uiPriority w:val="99"/>
    <w:rsid w:val="001A34FD"/>
    <w:rPr>
      <w:rFonts w:cs="Times New Roman"/>
    </w:rPr>
  </w:style>
  <w:style w:type="paragraph" w:styleId="lfej">
    <w:name w:val="header"/>
    <w:basedOn w:val="Norml"/>
    <w:link w:val="lfejChar"/>
    <w:uiPriority w:val="99"/>
    <w:rsid w:val="005E2A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B1B6B"/>
    <w:rPr>
      <w:rFonts w:ascii="Arial" w:hAnsi="Arial" w:cs="Arial"/>
      <w:b/>
      <w:bCs/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5E2A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B1B6B"/>
    <w:rPr>
      <w:rFonts w:ascii="Arial" w:hAnsi="Arial" w:cs="Arial"/>
      <w:b/>
      <w:bCs/>
      <w:sz w:val="20"/>
      <w:szCs w:val="20"/>
      <w:lang w:eastAsia="en-US"/>
    </w:rPr>
  </w:style>
  <w:style w:type="character" w:customStyle="1" w:styleId="hps">
    <w:name w:val="hps"/>
    <w:basedOn w:val="Bekezdsalapbettpusa"/>
    <w:rsid w:val="00E9653B"/>
  </w:style>
  <w:style w:type="character" w:styleId="Hiperhivatkozs">
    <w:name w:val="Hyperlink"/>
    <w:basedOn w:val="Bekezdsalapbettpusa"/>
    <w:uiPriority w:val="99"/>
    <w:semiHidden/>
    <w:unhideWhenUsed/>
    <w:rsid w:val="005F15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11AC"/>
    <w:pPr>
      <w:ind w:left="720"/>
      <w:contextualSpacing/>
    </w:pPr>
  </w:style>
  <w:style w:type="character" w:customStyle="1" w:styleId="alt-edited">
    <w:name w:val="alt-edited"/>
    <w:basedOn w:val="Bekezdsalapbettpusa"/>
    <w:rsid w:val="00A64A3F"/>
  </w:style>
  <w:style w:type="character" w:customStyle="1" w:styleId="rynqvb">
    <w:name w:val="rynqvb"/>
    <w:basedOn w:val="Bekezdsalapbettpusa"/>
    <w:rsid w:val="00BE15CC"/>
  </w:style>
  <w:style w:type="character" w:customStyle="1" w:styleId="Cmsor5Char">
    <w:name w:val="Címsor 5 Char"/>
    <w:basedOn w:val="Bekezdsalapbettpusa"/>
    <w:link w:val="Cmsor5"/>
    <w:uiPriority w:val="99"/>
    <w:semiHidden/>
    <w:rsid w:val="00BE15CC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character" w:customStyle="1" w:styleId="hwtze">
    <w:name w:val="hwtze"/>
    <w:basedOn w:val="Bekezdsalapbettpusa"/>
    <w:rsid w:val="00BE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dr--berend-mihaly/176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line.hu/szerzo/gutai-zita/132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line.hu/szerzo/dr--szerenyi-gabor/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941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DTI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Zsuzsa</dc:creator>
  <cp:lastModifiedBy>Bayoumi Hamuda Hosam</cp:lastModifiedBy>
  <cp:revision>3</cp:revision>
  <cp:lastPrinted>2018-01-22T14:53:00Z</cp:lastPrinted>
  <dcterms:created xsi:type="dcterms:W3CDTF">2023-02-21T15:29:00Z</dcterms:created>
  <dcterms:modified xsi:type="dcterms:W3CDTF">2023-02-22T20:26:00Z</dcterms:modified>
</cp:coreProperties>
</file>