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128"/>
        <w:gridCol w:w="2283"/>
        <w:gridCol w:w="1826"/>
      </w:tblGrid>
      <w:tr w:rsidR="00674DF6" w:rsidRPr="00CE607B" w14:paraId="4E09107F"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79B9AEA0" w14:textId="6EED8138" w:rsidR="00674DF6" w:rsidRPr="00F61A1C" w:rsidRDefault="00F61A1C" w:rsidP="00D330EC">
            <w:pPr>
              <w:pageBreakBefore/>
              <w:jc w:val="both"/>
              <w:rPr>
                <w:b/>
                <w:bCs/>
                <w:i/>
                <w:iCs/>
              </w:rPr>
            </w:pPr>
            <w:r w:rsidRPr="00F61A1C">
              <w:rPr>
                <w:rFonts w:ascii="Arial" w:hAnsi="Arial" w:cs="Arial"/>
                <w:b/>
                <w:bCs/>
                <w:i/>
                <w:iCs/>
                <w:sz w:val="20"/>
                <w:szCs w:val="20"/>
              </w:rPr>
              <w:t>T</w:t>
            </w:r>
            <w:r w:rsidR="00CE607B" w:rsidRPr="00F61A1C">
              <w:rPr>
                <w:rFonts w:ascii="Arial" w:hAnsi="Arial" w:cs="Arial"/>
                <w:b/>
                <w:bCs/>
                <w:i/>
                <w:iCs/>
                <w:sz w:val="20"/>
                <w:szCs w:val="20"/>
              </w:rPr>
              <w:t>itle of the course:</w:t>
            </w:r>
          </w:p>
          <w:p w14:paraId="636D3B1D" w14:textId="6712CB0E" w:rsidR="00674DF6" w:rsidRPr="00CE607B" w:rsidRDefault="00CE607B" w:rsidP="00D330EC">
            <w:pPr>
              <w:jc w:val="both"/>
              <w:rPr>
                <w:bCs/>
                <w:iCs/>
              </w:rPr>
            </w:pPr>
            <w:r w:rsidRPr="00CE607B">
              <w:rPr>
                <w:bCs/>
                <w:iCs/>
              </w:rPr>
              <w:t>Technical mechanics</w:t>
            </w:r>
          </w:p>
        </w:tc>
        <w:tc>
          <w:tcPr>
            <w:tcW w:w="2128" w:type="dxa"/>
            <w:tcBorders>
              <w:top w:val="single" w:sz="4" w:space="0" w:color="auto"/>
              <w:left w:val="single" w:sz="4" w:space="0" w:color="auto"/>
              <w:bottom w:val="single" w:sz="4" w:space="0" w:color="auto"/>
              <w:right w:val="single" w:sz="4" w:space="0" w:color="auto"/>
            </w:tcBorders>
            <w:vAlign w:val="center"/>
          </w:tcPr>
          <w:p w14:paraId="7081C5A3" w14:textId="6173D8C1" w:rsidR="00674DF6" w:rsidRPr="00CE607B" w:rsidRDefault="00F61A1C" w:rsidP="00D330EC">
            <w:pPr>
              <w:jc w:val="both"/>
              <w:rPr>
                <w:b/>
                <w:iCs/>
              </w:rPr>
            </w:pPr>
            <w:r w:rsidRPr="009A1714">
              <w:rPr>
                <w:b/>
                <w:i/>
              </w:rPr>
              <w:t>NEPTUN-code</w:t>
            </w:r>
            <w:r w:rsidRPr="00CE607B">
              <w:rPr>
                <w:b/>
                <w:iCs/>
              </w:rPr>
              <w:t xml:space="preserve"> </w:t>
            </w:r>
          </w:p>
          <w:p w14:paraId="2380547B" w14:textId="07F464CC" w:rsidR="00674DF6" w:rsidRPr="00CE607B" w:rsidRDefault="00674DF6" w:rsidP="00D330EC">
            <w:pPr>
              <w:jc w:val="both"/>
              <w:rPr>
                <w:iCs/>
              </w:rPr>
            </w:pPr>
            <w:r w:rsidRPr="00CE607B">
              <w:rPr>
                <w:iCs/>
              </w:rPr>
              <w:t>RK</w:t>
            </w:r>
            <w:r w:rsidR="00CE607B" w:rsidRPr="00CE607B">
              <w:rPr>
                <w:iCs/>
              </w:rPr>
              <w:t>XME1EBNF</w:t>
            </w:r>
          </w:p>
        </w:tc>
        <w:tc>
          <w:tcPr>
            <w:tcW w:w="2283" w:type="dxa"/>
            <w:tcBorders>
              <w:top w:val="single" w:sz="4" w:space="0" w:color="auto"/>
              <w:left w:val="single" w:sz="4" w:space="0" w:color="auto"/>
              <w:bottom w:val="single" w:sz="4" w:space="0" w:color="auto"/>
              <w:right w:val="single" w:sz="4" w:space="0" w:color="auto"/>
            </w:tcBorders>
            <w:vAlign w:val="center"/>
          </w:tcPr>
          <w:p w14:paraId="787C35D4" w14:textId="77777777" w:rsidR="00F61A1C" w:rsidRPr="009A1714" w:rsidRDefault="00F61A1C" w:rsidP="00F61A1C">
            <w:pPr>
              <w:jc w:val="both"/>
              <w:rPr>
                <w:i/>
              </w:rPr>
            </w:pPr>
            <w:r w:rsidRPr="009A1714">
              <w:rPr>
                <w:b/>
                <w:i/>
              </w:rPr>
              <w:t>Weekly teaching hours:</w:t>
            </w:r>
            <w:r w:rsidRPr="009A1714">
              <w:rPr>
                <w:i/>
              </w:rPr>
              <w:t xml:space="preserve"> l+</w:t>
            </w:r>
            <w:r>
              <w:rPr>
                <w:i/>
              </w:rPr>
              <w:t>cw</w:t>
            </w:r>
            <w:r w:rsidRPr="009A1714">
              <w:rPr>
                <w:i/>
              </w:rPr>
              <w:t>+l</w:t>
            </w:r>
            <w:r>
              <w:rPr>
                <w:i/>
              </w:rPr>
              <w:t>w</w:t>
            </w:r>
          </w:p>
          <w:p w14:paraId="2F0FFA01" w14:textId="502A0565" w:rsidR="00674DF6" w:rsidRPr="00CE607B" w:rsidRDefault="00F61A1C" w:rsidP="00F61A1C">
            <w:pPr>
              <w:jc w:val="center"/>
              <w:rPr>
                <w:iCs/>
              </w:rPr>
            </w:pPr>
            <w:r w:rsidRPr="009A1714">
              <w:t>1+2+0</w:t>
            </w:r>
          </w:p>
        </w:tc>
        <w:tc>
          <w:tcPr>
            <w:tcW w:w="1826" w:type="dxa"/>
            <w:tcBorders>
              <w:top w:val="single" w:sz="4" w:space="0" w:color="auto"/>
              <w:left w:val="single" w:sz="4" w:space="0" w:color="auto"/>
              <w:bottom w:val="single" w:sz="4" w:space="0" w:color="auto"/>
              <w:right w:val="single" w:sz="4" w:space="0" w:color="auto"/>
            </w:tcBorders>
            <w:vAlign w:val="center"/>
          </w:tcPr>
          <w:p w14:paraId="5EF69FD5" w14:textId="77777777" w:rsidR="00F61A1C" w:rsidRPr="009A1714" w:rsidRDefault="00F61A1C" w:rsidP="00F61A1C">
            <w:pPr>
              <w:jc w:val="both"/>
            </w:pPr>
            <w:r w:rsidRPr="009A1714">
              <w:rPr>
                <w:b/>
                <w:i/>
                <w:iCs/>
              </w:rPr>
              <w:t>Credit:</w:t>
            </w:r>
            <w:r w:rsidRPr="009A1714">
              <w:rPr>
                <w:iCs/>
              </w:rPr>
              <w:t xml:space="preserve"> </w:t>
            </w:r>
            <w:r>
              <w:rPr>
                <w:iCs/>
              </w:rPr>
              <w:t>4</w:t>
            </w:r>
          </w:p>
          <w:p w14:paraId="365EA24B" w14:textId="0D1D3E80" w:rsidR="00F61A1C" w:rsidRPr="009A1714" w:rsidRDefault="00F61A1C" w:rsidP="00F61A1C">
            <w:pPr>
              <w:jc w:val="both"/>
            </w:pPr>
            <w:r w:rsidRPr="009A1714">
              <w:rPr>
                <w:b/>
                <w:i/>
              </w:rPr>
              <w:t>Exam type</w:t>
            </w:r>
            <w:r w:rsidRPr="009A1714">
              <w:rPr>
                <w:i/>
              </w:rPr>
              <w:t>:</w:t>
            </w:r>
            <w:r w:rsidRPr="009A1714">
              <w:t xml:space="preserve"> </w:t>
            </w:r>
            <w:r>
              <w:t>tm</w:t>
            </w:r>
            <w:r w:rsidRPr="009A1714">
              <w:t xml:space="preserve"> </w:t>
            </w:r>
          </w:p>
          <w:p w14:paraId="4FE63842" w14:textId="6784F102" w:rsidR="00674DF6" w:rsidRPr="00CE607B" w:rsidRDefault="00F61A1C" w:rsidP="00F61A1C">
            <w:pPr>
              <w:jc w:val="both"/>
              <w:rPr>
                <w:iCs/>
              </w:rPr>
            </w:pPr>
            <w:r w:rsidRPr="009A1714">
              <w:t xml:space="preserve">             </w:t>
            </w:r>
          </w:p>
        </w:tc>
      </w:tr>
      <w:tr w:rsidR="00674DF6" w:rsidRPr="00CE607B" w14:paraId="4F0F194B"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2930B091" w14:textId="06EECC0D" w:rsidR="00CE607B" w:rsidRDefault="00F61A1C" w:rsidP="00D330EC">
            <w:pPr>
              <w:jc w:val="both"/>
              <w:rPr>
                <w:b/>
                <w:iCs/>
              </w:rPr>
            </w:pPr>
            <w:r w:rsidRPr="009A1714">
              <w:rPr>
                <w:b/>
                <w:i/>
              </w:rPr>
              <w:t xml:space="preserve"> Course leader</w:t>
            </w:r>
          </w:p>
          <w:p w14:paraId="527EB249" w14:textId="627E7A8F" w:rsidR="00674DF6" w:rsidRPr="00CE607B" w:rsidRDefault="00674DF6" w:rsidP="00D330EC">
            <w:pPr>
              <w:jc w:val="both"/>
              <w:rPr>
                <w:b/>
                <w:iCs/>
              </w:rPr>
            </w:pPr>
            <w:r w:rsidRPr="00CE607B">
              <w:rPr>
                <w:bCs/>
                <w:iCs/>
              </w:rPr>
              <w:t xml:space="preserve"> </w:t>
            </w:r>
            <w:r w:rsidR="00CE607B" w:rsidRPr="00CE607B">
              <w:rPr>
                <w:bCs/>
                <w:iCs/>
              </w:rPr>
              <w:t>Dr. Szabó Lóránt</w:t>
            </w:r>
          </w:p>
        </w:tc>
        <w:tc>
          <w:tcPr>
            <w:tcW w:w="2128" w:type="dxa"/>
            <w:tcBorders>
              <w:top w:val="single" w:sz="4" w:space="0" w:color="auto"/>
              <w:left w:val="single" w:sz="4" w:space="0" w:color="auto"/>
              <w:bottom w:val="single" w:sz="4" w:space="0" w:color="auto"/>
              <w:right w:val="single" w:sz="4" w:space="0" w:color="auto"/>
            </w:tcBorders>
            <w:vAlign w:val="center"/>
          </w:tcPr>
          <w:p w14:paraId="0B20E56D" w14:textId="2264D572" w:rsidR="00CE607B" w:rsidRPr="00B57355" w:rsidRDefault="00B57355" w:rsidP="00D330EC">
            <w:pPr>
              <w:jc w:val="both"/>
              <w:rPr>
                <w:b/>
                <w:i/>
              </w:rPr>
            </w:pPr>
            <w:r w:rsidRPr="009A1714">
              <w:rPr>
                <w:b/>
                <w:i/>
              </w:rPr>
              <w:t xml:space="preserve"> Position: </w:t>
            </w:r>
          </w:p>
          <w:p w14:paraId="13974366" w14:textId="58B205E5" w:rsidR="00CE607B" w:rsidRPr="00CE607B" w:rsidRDefault="00264D81" w:rsidP="00D330EC">
            <w:pPr>
              <w:jc w:val="both"/>
              <w:rPr>
                <w:iCs/>
              </w:rPr>
            </w:pPr>
            <w:r>
              <w:rPr>
                <w:iCs/>
              </w:rPr>
              <w:t>senior</w:t>
            </w:r>
            <w:r w:rsidR="00CE607B" w:rsidRPr="00CE607B">
              <w:rPr>
                <w:iCs/>
              </w:rPr>
              <w:t xml:space="preserve"> professor</w:t>
            </w:r>
          </w:p>
          <w:p w14:paraId="187C1523" w14:textId="060660E5" w:rsidR="00674DF6" w:rsidRPr="00CE607B" w:rsidRDefault="00674DF6" w:rsidP="00D330EC">
            <w:pPr>
              <w:jc w:val="both"/>
              <w:rPr>
                <w:iCs/>
              </w:rPr>
            </w:pPr>
          </w:p>
        </w:tc>
        <w:tc>
          <w:tcPr>
            <w:tcW w:w="4109" w:type="dxa"/>
            <w:gridSpan w:val="2"/>
            <w:tcBorders>
              <w:top w:val="single" w:sz="4" w:space="0" w:color="auto"/>
              <w:left w:val="single" w:sz="4" w:space="0" w:color="auto"/>
              <w:bottom w:val="single" w:sz="4" w:space="0" w:color="auto"/>
              <w:right w:val="single" w:sz="4" w:space="0" w:color="auto"/>
            </w:tcBorders>
            <w:vAlign w:val="center"/>
          </w:tcPr>
          <w:p w14:paraId="352660C8" w14:textId="115D4B2A" w:rsidR="00F61A1C" w:rsidRPr="00F61A1C" w:rsidRDefault="00F61A1C" w:rsidP="00F61A1C">
            <w:pPr>
              <w:rPr>
                <w:b/>
                <w:i/>
                <w:iCs/>
              </w:rPr>
            </w:pPr>
            <w:r w:rsidRPr="00F61A1C">
              <w:rPr>
                <w:b/>
                <w:i/>
                <w:iCs/>
              </w:rPr>
              <w:t xml:space="preserve">Required preliminary knowledge: </w:t>
            </w:r>
            <w:r w:rsidR="00B57355">
              <w:rPr>
                <w:b/>
                <w:i/>
                <w:iCs/>
              </w:rPr>
              <w:t>-</w:t>
            </w:r>
          </w:p>
          <w:p w14:paraId="1E918103" w14:textId="1080950B" w:rsidR="00674DF6" w:rsidRPr="00CE607B" w:rsidRDefault="00F61A1C" w:rsidP="00D330EC">
            <w:pPr>
              <w:rPr>
                <w:iCs/>
              </w:rPr>
            </w:pPr>
            <w:r>
              <w:rPr>
                <w:iCs/>
              </w:rPr>
              <w:t>no</w:t>
            </w:r>
          </w:p>
        </w:tc>
      </w:tr>
      <w:tr w:rsidR="00674DF6" w:rsidRPr="00CE607B" w14:paraId="68335B03"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114A3DD9" w14:textId="4EB19BD8" w:rsidR="00674DF6" w:rsidRPr="00CE607B" w:rsidRDefault="00F61A1C" w:rsidP="00D330EC">
            <w:pPr>
              <w:jc w:val="center"/>
              <w:rPr>
                <w:b/>
                <w:bCs/>
              </w:rPr>
            </w:pPr>
            <w:r w:rsidRPr="00F61A1C">
              <w:rPr>
                <w:b/>
                <w:bCs/>
                <w:i/>
              </w:rPr>
              <w:t>Curriculum:</w:t>
            </w:r>
          </w:p>
        </w:tc>
      </w:tr>
      <w:tr w:rsidR="00674DF6" w:rsidRPr="00CE607B" w14:paraId="01871B01" w14:textId="77777777" w:rsidTr="007F1D74">
        <w:trPr>
          <w:trHeight w:val="1986"/>
        </w:trPr>
        <w:tc>
          <w:tcPr>
            <w:tcW w:w="8789" w:type="dxa"/>
            <w:gridSpan w:val="5"/>
            <w:tcBorders>
              <w:top w:val="single" w:sz="4" w:space="0" w:color="auto"/>
              <w:left w:val="single" w:sz="4" w:space="0" w:color="auto"/>
              <w:bottom w:val="single" w:sz="4" w:space="0" w:color="auto"/>
              <w:right w:val="single" w:sz="4" w:space="0" w:color="auto"/>
            </w:tcBorders>
          </w:tcPr>
          <w:p w14:paraId="30D5335C" w14:textId="77777777" w:rsidR="00674DF6" w:rsidRPr="00CE607B" w:rsidRDefault="007F1D74" w:rsidP="00FA6103">
            <w:pPr>
              <w:pStyle w:val="paragraph"/>
              <w:spacing w:before="0" w:beforeAutospacing="0" w:after="0" w:afterAutospacing="0"/>
              <w:jc w:val="both"/>
              <w:textAlignment w:val="baseline"/>
            </w:pPr>
            <w:r w:rsidRPr="00CE607B">
              <w:t>Technical mechanics can be divided into four large parts, function of the studied object: mechanics of the no deformable bodies (mechanics of the rigid bodies), mechanics of the deformable bodies (strength of the materials, elasticity). Motion of the objects (point-like and rigid body, may be divided in other two parts: kinematics and dynamics (kinetics).</w:t>
            </w:r>
          </w:p>
          <w:p w14:paraId="6B06DE32" w14:textId="0160AC2A" w:rsidR="00A65CB2" w:rsidRPr="00CE607B" w:rsidRDefault="00A65CB2" w:rsidP="00FA6103">
            <w:pPr>
              <w:pStyle w:val="paragraph"/>
              <w:spacing w:before="0" w:beforeAutospacing="0" w:after="0" w:afterAutospacing="0"/>
              <w:jc w:val="both"/>
              <w:textAlignment w:val="baseline"/>
            </w:pPr>
            <w:r w:rsidRPr="00CE607B">
              <w:t>The aim of the course is to provide engineering students with the mechanical fundamentals that are essential for the mastery of mechanical engineering and professional subjects. They will gain an insight into, among other things, statics and strength of materials, as well as the description of the most important motions in engineering.</w:t>
            </w:r>
          </w:p>
        </w:tc>
      </w:tr>
      <w:tr w:rsidR="00674DF6" w:rsidRPr="00CE607B" w14:paraId="6E8F8C16" w14:textId="77777777" w:rsidTr="00D330EC">
        <w:trPr>
          <w:trHeight w:val="257"/>
        </w:trPr>
        <w:tc>
          <w:tcPr>
            <w:tcW w:w="8789" w:type="dxa"/>
            <w:gridSpan w:val="5"/>
            <w:tcBorders>
              <w:top w:val="single" w:sz="4" w:space="0" w:color="auto"/>
              <w:left w:val="single" w:sz="4" w:space="0" w:color="auto"/>
              <w:bottom w:val="single" w:sz="4" w:space="0" w:color="auto"/>
              <w:right w:val="single" w:sz="4" w:space="0" w:color="auto"/>
            </w:tcBorders>
            <w:vAlign w:val="center"/>
          </w:tcPr>
          <w:p w14:paraId="3723AC23" w14:textId="189FEF18" w:rsidR="00674DF6" w:rsidRPr="00CE607B" w:rsidRDefault="007F1D74" w:rsidP="00D330EC">
            <w:pPr>
              <w:jc w:val="center"/>
              <w:rPr>
                <w:rFonts w:eastAsia="Calibri"/>
                <w:iCs/>
              </w:rPr>
            </w:pPr>
            <w:r w:rsidRPr="00CE607B">
              <w:rPr>
                <w:rFonts w:ascii="Arial" w:hAnsi="Arial" w:cs="Arial"/>
                <w:b/>
                <w:bCs/>
                <w:i/>
                <w:iCs/>
                <w:sz w:val="20"/>
                <w:szCs w:val="20"/>
              </w:rPr>
              <w:t>Detailed schedule of the course:</w:t>
            </w:r>
          </w:p>
        </w:tc>
      </w:tr>
      <w:tr w:rsidR="00674DF6" w:rsidRPr="00CE607B" w14:paraId="377FB47A"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13FE1757" w14:textId="7D0D7892" w:rsidR="00674DF6" w:rsidRPr="00CE607B" w:rsidRDefault="007F1D74" w:rsidP="00D330EC">
            <w:pPr>
              <w:jc w:val="center"/>
              <w:rPr>
                <w:b/>
                <w:sz w:val="20"/>
                <w:szCs w:val="20"/>
              </w:rPr>
            </w:pPr>
            <w:r w:rsidRPr="00CE607B">
              <w:rPr>
                <w:rFonts w:ascii="Arial" w:hAnsi="Arial" w:cs="Arial"/>
                <w:sz w:val="20"/>
                <w:szCs w:val="20"/>
              </w:rPr>
              <w:t>Weeks</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5D21516" w14:textId="39C86B4D" w:rsidR="00674DF6" w:rsidRPr="00CE607B" w:rsidRDefault="007F1D74" w:rsidP="00D330EC">
            <w:pPr>
              <w:jc w:val="center"/>
              <w:rPr>
                <w:b/>
                <w:sz w:val="20"/>
                <w:szCs w:val="20"/>
              </w:rPr>
            </w:pPr>
            <w:r w:rsidRPr="00CE607B">
              <w:rPr>
                <w:rFonts w:ascii="Arial" w:hAnsi="Arial" w:cs="Arial"/>
                <w:b/>
                <w:bCs/>
                <w:i/>
                <w:iCs/>
                <w:sz w:val="20"/>
                <w:szCs w:val="20"/>
              </w:rPr>
              <w:t>Topics of lectures</w:t>
            </w:r>
            <w:r w:rsidRPr="00CE607B">
              <w:rPr>
                <w:rFonts w:ascii="Arial" w:hAnsi="Arial" w:cs="Arial"/>
                <w:i/>
                <w:iCs/>
                <w:sz w:val="20"/>
                <w:szCs w:val="20"/>
              </w:rPr>
              <w:t xml:space="preserve"> </w:t>
            </w:r>
            <w:r w:rsidRPr="00CE607B">
              <w:rPr>
                <w:rFonts w:ascii="Arial" w:hAnsi="Arial" w:cs="Arial"/>
                <w:b/>
                <w:bCs/>
                <w:i/>
                <w:iCs/>
                <w:sz w:val="20"/>
                <w:szCs w:val="20"/>
              </w:rPr>
              <w:t>and practices</w:t>
            </w:r>
          </w:p>
        </w:tc>
      </w:tr>
      <w:tr w:rsidR="007F1D74" w:rsidRPr="00CE607B" w14:paraId="7488C414"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93B6ABC" w14:textId="77777777" w:rsidR="007F1D74" w:rsidRPr="00CE607B" w:rsidRDefault="007F1D74" w:rsidP="007F1D74">
            <w:pPr>
              <w:jc w:val="center"/>
              <w:rPr>
                <w:bCs/>
              </w:rPr>
            </w:pPr>
            <w:r w:rsidRPr="00CE607B">
              <w:rPr>
                <w:bCs/>
              </w:rPr>
              <w:t>1.</w:t>
            </w:r>
          </w:p>
        </w:tc>
        <w:tc>
          <w:tcPr>
            <w:tcW w:w="7796" w:type="dxa"/>
            <w:gridSpan w:val="4"/>
            <w:tcBorders>
              <w:top w:val="single" w:sz="4" w:space="0" w:color="auto"/>
              <w:left w:val="single" w:sz="4" w:space="0" w:color="auto"/>
              <w:bottom w:val="single" w:sz="4" w:space="0" w:color="auto"/>
              <w:right w:val="single" w:sz="4" w:space="0" w:color="auto"/>
            </w:tcBorders>
          </w:tcPr>
          <w:p w14:paraId="377A93E7" w14:textId="4529A7A7" w:rsidR="007F1D74" w:rsidRPr="00CE607B" w:rsidRDefault="007F1D74" w:rsidP="007F1D74">
            <w:pPr>
              <w:jc w:val="both"/>
              <w:rPr>
                <w:bCs/>
              </w:rPr>
            </w:pPr>
            <w:r w:rsidRPr="00CE607B">
              <w:rPr>
                <w:rFonts w:ascii="Times New Roman" w:eastAsia="Arial,Bold" w:hAnsi="Times New Roman"/>
                <w:bCs/>
                <w:lang w:eastAsia="hu-HU"/>
              </w:rPr>
              <w:t xml:space="preserve">Statics. Basic concepts, fundamentals. </w:t>
            </w:r>
            <w:r w:rsidRPr="00CE607B">
              <w:rPr>
                <w:rFonts w:ascii="Times New Roman" w:hAnsi="Times New Roman"/>
              </w:rPr>
              <w:t xml:space="preserve">Fundamental principles of theoretical mechanics. Vectors. The force in Cartesian system of reference. Three laws of Newton, for example: principle of the action and the reaction. Components of the force. </w:t>
            </w:r>
            <w:r w:rsidRPr="00CE607B">
              <w:rPr>
                <w:rFonts w:ascii="Times New Roman" w:eastAsia="Arial,Bold" w:hAnsi="Times New Roman"/>
                <w:bCs/>
                <w:lang w:eastAsia="hu-HU"/>
              </w:rPr>
              <w:t>Planar forces, force system.</w:t>
            </w:r>
          </w:p>
        </w:tc>
      </w:tr>
      <w:tr w:rsidR="007F1D74" w:rsidRPr="00CE607B" w14:paraId="26AD5CF3"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DD73830" w14:textId="77777777" w:rsidR="007F1D74" w:rsidRPr="00CE607B" w:rsidRDefault="007F1D74" w:rsidP="007F1D74">
            <w:pPr>
              <w:jc w:val="center"/>
              <w:rPr>
                <w:bCs/>
              </w:rPr>
            </w:pPr>
            <w:r w:rsidRPr="00CE607B">
              <w:rPr>
                <w:bCs/>
              </w:rPr>
              <w:t>2.</w:t>
            </w:r>
          </w:p>
        </w:tc>
        <w:tc>
          <w:tcPr>
            <w:tcW w:w="7796" w:type="dxa"/>
            <w:gridSpan w:val="4"/>
            <w:shd w:val="clear" w:color="auto" w:fill="auto"/>
          </w:tcPr>
          <w:p w14:paraId="04936C46" w14:textId="6A1187C2" w:rsidR="007F1D74" w:rsidRPr="00CE607B" w:rsidRDefault="007F1D74" w:rsidP="007F1D74">
            <w:pPr>
              <w:jc w:val="both"/>
              <w:rPr>
                <w:bCs/>
              </w:rPr>
            </w:pPr>
            <w:r w:rsidRPr="00CE607B">
              <w:rPr>
                <w:rFonts w:ascii="Times New Roman" w:hAnsi="Times New Roman"/>
              </w:rPr>
              <w:t>Moment of a force for a given point. Moment of the force for a given axis. Couple of two forces. Reduction of a force in a given point. Cases of reduction. Systems of parallel forces. Center of the parallel forces.</w:t>
            </w:r>
          </w:p>
        </w:tc>
      </w:tr>
      <w:tr w:rsidR="007F1D74" w:rsidRPr="00CE607B" w14:paraId="795EE0F0"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63D38D7F" w14:textId="77777777" w:rsidR="007F1D74" w:rsidRPr="00CE607B" w:rsidRDefault="007F1D74" w:rsidP="007F1D74">
            <w:pPr>
              <w:jc w:val="center"/>
              <w:rPr>
                <w:bCs/>
              </w:rPr>
            </w:pPr>
            <w:r w:rsidRPr="00CE607B">
              <w:rPr>
                <w:bCs/>
              </w:rPr>
              <w:t>3.</w:t>
            </w:r>
          </w:p>
        </w:tc>
        <w:tc>
          <w:tcPr>
            <w:tcW w:w="7796" w:type="dxa"/>
            <w:gridSpan w:val="4"/>
            <w:shd w:val="clear" w:color="auto" w:fill="auto"/>
          </w:tcPr>
          <w:p w14:paraId="45E83C52" w14:textId="3D92125D" w:rsidR="007F1D74" w:rsidRPr="00CE607B" w:rsidRDefault="007F1D74" w:rsidP="007F1D74">
            <w:pPr>
              <w:jc w:val="both"/>
              <w:rPr>
                <w:bCs/>
              </w:rPr>
            </w:pPr>
            <w:r w:rsidRPr="00CE607B">
              <w:rPr>
                <w:rFonts w:ascii="Times New Roman" w:eastAsia="Arial,Bold" w:hAnsi="Times New Roman"/>
                <w:bCs/>
              </w:rPr>
              <w:t xml:space="preserve">Centre of gravity. </w:t>
            </w:r>
            <w:r w:rsidRPr="00CE607B">
              <w:rPr>
                <w:rFonts w:ascii="Times New Roman" w:hAnsi="Times New Roman"/>
              </w:rPr>
              <w:t>Centres of gravity for homogeneous bodies. Laws of friction. Equilibrium of the particle with constraints with friction.</w:t>
            </w:r>
          </w:p>
        </w:tc>
      </w:tr>
      <w:tr w:rsidR="007F1D74" w:rsidRPr="00CE607B" w14:paraId="678909BE" w14:textId="77777777" w:rsidTr="00D330EC">
        <w:trPr>
          <w:trHeight w:val="333"/>
        </w:trPr>
        <w:tc>
          <w:tcPr>
            <w:tcW w:w="993" w:type="dxa"/>
            <w:tcBorders>
              <w:top w:val="single" w:sz="4" w:space="0" w:color="auto"/>
              <w:left w:val="single" w:sz="4" w:space="0" w:color="auto"/>
              <w:bottom w:val="single" w:sz="4" w:space="0" w:color="auto"/>
              <w:right w:val="single" w:sz="4" w:space="0" w:color="auto"/>
            </w:tcBorders>
            <w:vAlign w:val="center"/>
          </w:tcPr>
          <w:p w14:paraId="47E85E82" w14:textId="77777777" w:rsidR="007F1D74" w:rsidRPr="00CE607B" w:rsidRDefault="007F1D74" w:rsidP="007F1D74">
            <w:pPr>
              <w:jc w:val="center"/>
              <w:rPr>
                <w:bCs/>
              </w:rPr>
            </w:pPr>
            <w:r w:rsidRPr="00CE607B">
              <w:rPr>
                <w:bCs/>
              </w:rPr>
              <w:t>4.</w:t>
            </w:r>
          </w:p>
        </w:tc>
        <w:tc>
          <w:tcPr>
            <w:tcW w:w="7796" w:type="dxa"/>
            <w:gridSpan w:val="4"/>
            <w:shd w:val="clear" w:color="auto" w:fill="auto"/>
          </w:tcPr>
          <w:p w14:paraId="387E7CDD" w14:textId="27D7616A" w:rsidR="007F1D74" w:rsidRPr="00CE607B" w:rsidRDefault="007F1D74" w:rsidP="007F1D74">
            <w:pPr>
              <w:jc w:val="both"/>
              <w:rPr>
                <w:bCs/>
              </w:rPr>
            </w:pPr>
            <w:r w:rsidRPr="00CE607B">
              <w:t>Modelling the action of forces. Statics of the rigid body. Simple, hinged and fixed support. Loads. Beams (holders). Trusses.</w:t>
            </w:r>
          </w:p>
        </w:tc>
      </w:tr>
      <w:tr w:rsidR="007F1D74" w:rsidRPr="00CE607B" w14:paraId="44CECF6F"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0F47A79A" w14:textId="77777777" w:rsidR="007F1D74" w:rsidRPr="00CE607B" w:rsidRDefault="007F1D74" w:rsidP="007F1D74">
            <w:pPr>
              <w:jc w:val="center"/>
              <w:rPr>
                <w:bCs/>
              </w:rPr>
            </w:pPr>
            <w:r w:rsidRPr="00CE607B">
              <w:rPr>
                <w:bCs/>
              </w:rPr>
              <w:t>5.</w:t>
            </w:r>
          </w:p>
        </w:tc>
        <w:tc>
          <w:tcPr>
            <w:tcW w:w="7796" w:type="dxa"/>
            <w:gridSpan w:val="4"/>
            <w:shd w:val="clear" w:color="auto" w:fill="auto"/>
          </w:tcPr>
          <w:p w14:paraId="4AF56FCC" w14:textId="0CC0DB01" w:rsidR="007F1D74" w:rsidRPr="00CE607B" w:rsidRDefault="007F1D74" w:rsidP="007F1D74">
            <w:pPr>
              <w:jc w:val="both"/>
              <w:rPr>
                <w:b/>
                <w:bCs/>
              </w:rPr>
            </w:pPr>
            <w:r w:rsidRPr="00CE607B">
              <w:rPr>
                <w:rFonts w:ascii="Times New Roman" w:hAnsi="Times New Roman"/>
              </w:rPr>
              <w:t>Theory of elasticity</w:t>
            </w:r>
            <w:r w:rsidRPr="00CE607B">
              <w:t xml:space="preserve">. </w:t>
            </w:r>
            <w:r w:rsidRPr="00CE607B">
              <w:rPr>
                <w:rFonts w:ascii="Times New Roman" w:hAnsi="Times New Roman"/>
              </w:rPr>
              <w:t xml:space="preserve">Direct stresses (tensile state). Shearing stress. </w:t>
            </w:r>
          </w:p>
        </w:tc>
      </w:tr>
      <w:tr w:rsidR="00FB63BA" w:rsidRPr="00CE607B" w14:paraId="4F42BAF4"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4CF8A57F" w14:textId="77777777" w:rsidR="00FB63BA" w:rsidRPr="00CE607B" w:rsidRDefault="00FB63BA" w:rsidP="00FB63BA">
            <w:pPr>
              <w:jc w:val="center"/>
              <w:rPr>
                <w:bCs/>
              </w:rPr>
            </w:pPr>
            <w:r w:rsidRPr="00CE607B">
              <w:rPr>
                <w:bCs/>
              </w:rPr>
              <w:t>6.</w:t>
            </w:r>
          </w:p>
        </w:tc>
        <w:tc>
          <w:tcPr>
            <w:tcW w:w="7796" w:type="dxa"/>
            <w:gridSpan w:val="4"/>
            <w:shd w:val="clear" w:color="auto" w:fill="auto"/>
          </w:tcPr>
          <w:p w14:paraId="79F1E09C" w14:textId="48359D3E" w:rsidR="00FB63BA" w:rsidRPr="00CE607B" w:rsidRDefault="00FB63BA" w:rsidP="00FB63BA">
            <w:pPr>
              <w:jc w:val="both"/>
              <w:rPr>
                <w:b/>
                <w:bCs/>
              </w:rPr>
            </w:pPr>
            <w:r w:rsidRPr="00CE607B">
              <w:rPr>
                <w:rFonts w:ascii="Times New Roman" w:hAnsi="Times New Roman"/>
              </w:rPr>
              <w:t>Bending stress. Instability (buckling stress). Strength calculation.</w:t>
            </w:r>
          </w:p>
        </w:tc>
      </w:tr>
      <w:tr w:rsidR="00FB63BA" w:rsidRPr="00CE607B" w14:paraId="7D3D3FF4"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4E0B0D43" w14:textId="77777777" w:rsidR="00FB63BA" w:rsidRPr="00CE607B" w:rsidRDefault="00FB63BA" w:rsidP="00FB63BA">
            <w:pPr>
              <w:jc w:val="center"/>
              <w:rPr>
                <w:bCs/>
              </w:rPr>
            </w:pPr>
            <w:r w:rsidRPr="00CE607B">
              <w:rPr>
                <w:bCs/>
              </w:rPr>
              <w:t>7.</w:t>
            </w:r>
          </w:p>
        </w:tc>
        <w:tc>
          <w:tcPr>
            <w:tcW w:w="7796" w:type="dxa"/>
            <w:gridSpan w:val="4"/>
            <w:shd w:val="clear" w:color="auto" w:fill="auto"/>
          </w:tcPr>
          <w:p w14:paraId="1908AF64" w14:textId="31827F37" w:rsidR="00FB63BA" w:rsidRPr="00CE607B" w:rsidRDefault="00FB63BA" w:rsidP="00FB63BA">
            <w:pPr>
              <w:jc w:val="both"/>
              <w:rPr>
                <w:bCs/>
              </w:rPr>
            </w:pPr>
            <w:r w:rsidRPr="00CE607B">
              <w:rPr>
                <w:rFonts w:ascii="Times New Roman" w:hAnsi="Times New Roman"/>
              </w:rPr>
              <w:t xml:space="preserve">Summary of statics and elasticity. </w:t>
            </w:r>
            <w:r w:rsidRPr="00CE607B">
              <w:t>Written test 1.</w:t>
            </w:r>
          </w:p>
        </w:tc>
      </w:tr>
      <w:tr w:rsidR="00FB63BA" w:rsidRPr="00CE607B" w14:paraId="5F0691EB"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1CB6F6C" w14:textId="77777777" w:rsidR="00FB63BA" w:rsidRPr="00CE607B" w:rsidRDefault="00FB63BA" w:rsidP="00FB63BA">
            <w:pPr>
              <w:jc w:val="center"/>
              <w:rPr>
                <w:bCs/>
              </w:rPr>
            </w:pPr>
            <w:r w:rsidRPr="00CE607B">
              <w:rPr>
                <w:bCs/>
              </w:rPr>
              <w:t>8.</w:t>
            </w:r>
          </w:p>
        </w:tc>
        <w:tc>
          <w:tcPr>
            <w:tcW w:w="7796" w:type="dxa"/>
            <w:gridSpan w:val="4"/>
            <w:tcBorders>
              <w:bottom w:val="single" w:sz="4" w:space="0" w:color="auto"/>
            </w:tcBorders>
            <w:shd w:val="clear" w:color="auto" w:fill="auto"/>
          </w:tcPr>
          <w:p w14:paraId="647E5EC5" w14:textId="2662303E" w:rsidR="00FB63BA" w:rsidRPr="00CE607B" w:rsidRDefault="00FB63BA" w:rsidP="00FB63BA">
            <w:pPr>
              <w:jc w:val="both"/>
              <w:rPr>
                <w:bCs/>
              </w:rPr>
            </w:pPr>
            <w:r w:rsidRPr="00CE607B">
              <w:rPr>
                <w:rFonts w:ascii="Times New Roman" w:hAnsi="Times New Roman"/>
              </w:rPr>
              <w:t>Kinematics of the particle. Motion in one dimension. Position, velocity, and acceleration of the particle.</w:t>
            </w:r>
          </w:p>
        </w:tc>
      </w:tr>
      <w:tr w:rsidR="00FB63BA" w:rsidRPr="00CE607B" w14:paraId="4507687E"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1A18C2DC" w14:textId="77777777" w:rsidR="00FB63BA" w:rsidRPr="00CE607B" w:rsidRDefault="00FB63BA" w:rsidP="00FB63BA">
            <w:pPr>
              <w:jc w:val="center"/>
              <w:rPr>
                <w:bCs/>
              </w:rPr>
            </w:pPr>
            <w:r w:rsidRPr="00CE607B">
              <w:rPr>
                <w:bCs/>
              </w:rPr>
              <w:t>9.</w:t>
            </w:r>
          </w:p>
        </w:tc>
        <w:tc>
          <w:tcPr>
            <w:tcW w:w="7796" w:type="dxa"/>
            <w:gridSpan w:val="4"/>
            <w:tcBorders>
              <w:top w:val="single" w:sz="4" w:space="0" w:color="auto"/>
            </w:tcBorders>
            <w:shd w:val="clear" w:color="auto" w:fill="auto"/>
          </w:tcPr>
          <w:p w14:paraId="42F82745" w14:textId="070EC068" w:rsidR="00FB63BA" w:rsidRPr="00CE607B" w:rsidRDefault="00FB63BA" w:rsidP="00FB63BA">
            <w:pPr>
              <w:jc w:val="both"/>
              <w:rPr>
                <w:bCs/>
              </w:rPr>
            </w:pPr>
            <w:r w:rsidRPr="00CE607B">
              <w:rPr>
                <w:szCs w:val="20"/>
              </w:rPr>
              <w:t>Motion in two dimensions. Circular motions. Projectile motions.</w:t>
            </w:r>
            <w:r w:rsidRPr="00CE607B">
              <w:t xml:space="preserve"> </w:t>
            </w:r>
          </w:p>
        </w:tc>
      </w:tr>
      <w:tr w:rsidR="00FB63BA" w:rsidRPr="00CE607B" w14:paraId="396BE932"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48408F3A" w14:textId="77777777" w:rsidR="00FB63BA" w:rsidRPr="00CE607B" w:rsidRDefault="00FB63BA" w:rsidP="00FB63BA">
            <w:pPr>
              <w:jc w:val="center"/>
              <w:rPr>
                <w:bCs/>
              </w:rPr>
            </w:pPr>
            <w:r w:rsidRPr="00CE607B">
              <w:rPr>
                <w:bCs/>
              </w:rPr>
              <w:t>10.</w:t>
            </w:r>
          </w:p>
        </w:tc>
        <w:tc>
          <w:tcPr>
            <w:tcW w:w="7796" w:type="dxa"/>
            <w:gridSpan w:val="4"/>
            <w:shd w:val="clear" w:color="auto" w:fill="auto"/>
          </w:tcPr>
          <w:p w14:paraId="6FC37BA9" w14:textId="5BF7FEC4" w:rsidR="00FB63BA" w:rsidRPr="00CE607B" w:rsidRDefault="00FB63BA" w:rsidP="00FB63BA">
            <w:pPr>
              <w:jc w:val="both"/>
              <w:rPr>
                <w:b/>
                <w:bCs/>
              </w:rPr>
            </w:pPr>
            <w:r w:rsidRPr="00CE607B">
              <w:rPr>
                <w:szCs w:val="20"/>
              </w:rPr>
              <w:t>Summary of kinematics of point-like objects.</w:t>
            </w:r>
          </w:p>
        </w:tc>
      </w:tr>
      <w:tr w:rsidR="00FB63BA" w:rsidRPr="00CE607B" w14:paraId="495D9C00"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7BDE0518" w14:textId="77777777" w:rsidR="00FB63BA" w:rsidRPr="00CE607B" w:rsidRDefault="00FB63BA" w:rsidP="00FB63BA">
            <w:pPr>
              <w:jc w:val="center"/>
              <w:rPr>
                <w:bCs/>
              </w:rPr>
            </w:pPr>
            <w:r w:rsidRPr="00CE607B">
              <w:rPr>
                <w:bCs/>
              </w:rPr>
              <w:t>11.</w:t>
            </w:r>
          </w:p>
        </w:tc>
        <w:tc>
          <w:tcPr>
            <w:tcW w:w="7796" w:type="dxa"/>
            <w:gridSpan w:val="4"/>
            <w:shd w:val="clear" w:color="auto" w:fill="auto"/>
          </w:tcPr>
          <w:p w14:paraId="0F765312" w14:textId="53F58CC1" w:rsidR="00FB63BA" w:rsidRPr="00CE607B" w:rsidRDefault="00FB63BA" w:rsidP="00FB63BA">
            <w:pPr>
              <w:jc w:val="both"/>
              <w:rPr>
                <w:b/>
                <w:bCs/>
              </w:rPr>
            </w:pPr>
            <w:r w:rsidRPr="00CE607B">
              <w:rPr>
                <w:rFonts w:eastAsia="Arial,Bold"/>
                <w:bCs/>
              </w:rPr>
              <w:t>Kinematics of the rigid body. Basic concepts, velocity and acceleration states, elemental and finite motions.</w:t>
            </w:r>
          </w:p>
        </w:tc>
      </w:tr>
      <w:tr w:rsidR="00FB63BA" w:rsidRPr="00CE607B" w14:paraId="5916C53B" w14:textId="77777777" w:rsidTr="008E1457">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27368A43" w14:textId="77777777" w:rsidR="00FB63BA" w:rsidRPr="00CE607B" w:rsidRDefault="00FB63BA" w:rsidP="00FB63BA">
            <w:pPr>
              <w:jc w:val="center"/>
              <w:rPr>
                <w:bCs/>
              </w:rPr>
            </w:pPr>
            <w:r w:rsidRPr="00CE607B">
              <w:rPr>
                <w:bCs/>
              </w:rPr>
              <w:lastRenderedPageBreak/>
              <w:t>12.</w:t>
            </w:r>
          </w:p>
        </w:tc>
        <w:tc>
          <w:tcPr>
            <w:tcW w:w="7796" w:type="dxa"/>
            <w:gridSpan w:val="4"/>
            <w:tcBorders>
              <w:bottom w:val="single" w:sz="4" w:space="0" w:color="auto"/>
            </w:tcBorders>
            <w:shd w:val="clear" w:color="auto" w:fill="auto"/>
            <w:vAlign w:val="center"/>
          </w:tcPr>
          <w:p w14:paraId="7262F325" w14:textId="0E25A301" w:rsidR="00FB63BA" w:rsidRPr="00CE607B" w:rsidRDefault="00FB63BA" w:rsidP="00FB63BA">
            <w:pPr>
              <w:jc w:val="both"/>
              <w:rPr>
                <w:b/>
                <w:bCs/>
              </w:rPr>
            </w:pPr>
            <w:r w:rsidRPr="00CE607B">
              <w:rPr>
                <w:rFonts w:eastAsia="Arial,Bold"/>
                <w:bCs/>
              </w:rPr>
              <w:t xml:space="preserve">The kinematics of relative motions. Kinetics. The laws of motion. Kinetics of the material point, axioms, general theorems. </w:t>
            </w:r>
            <w:r w:rsidRPr="00CE607B">
              <w:t>Forces of friction. Work, power, kinetic and potential energy. Work-kinetic energy theorem.</w:t>
            </w:r>
          </w:p>
        </w:tc>
      </w:tr>
      <w:tr w:rsidR="00FB63BA" w:rsidRPr="00CE607B" w14:paraId="73D32C86"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59994CC3" w14:textId="77777777" w:rsidR="00FB63BA" w:rsidRPr="00CE607B" w:rsidRDefault="00FB63BA" w:rsidP="00FB63BA">
            <w:pPr>
              <w:jc w:val="center"/>
              <w:rPr>
                <w:bCs/>
              </w:rPr>
            </w:pPr>
            <w:r w:rsidRPr="00CE607B">
              <w:rPr>
                <w:bCs/>
              </w:rPr>
              <w:t>13.</w:t>
            </w:r>
          </w:p>
        </w:tc>
        <w:tc>
          <w:tcPr>
            <w:tcW w:w="7796" w:type="dxa"/>
            <w:gridSpan w:val="4"/>
            <w:tcBorders>
              <w:top w:val="single" w:sz="4" w:space="0" w:color="auto"/>
            </w:tcBorders>
            <w:shd w:val="clear" w:color="auto" w:fill="auto"/>
          </w:tcPr>
          <w:p w14:paraId="6922B6FE" w14:textId="6A6FCE8D" w:rsidR="00FB63BA" w:rsidRPr="00CE607B" w:rsidRDefault="00FB63BA" w:rsidP="00FB63BA">
            <w:pPr>
              <w:jc w:val="both"/>
              <w:rPr>
                <w:b/>
                <w:bCs/>
              </w:rPr>
            </w:pPr>
            <w:r w:rsidRPr="00CE607B">
              <w:rPr>
                <w:rFonts w:eastAsia="Arial,Bold"/>
                <w:bCs/>
              </w:rPr>
              <w:t xml:space="preserve">The rotation of a rigid body around an axis, translational and plane motion of a rigid body. </w:t>
            </w:r>
            <w:r w:rsidRPr="00CE607B">
              <w:t>Written test 2.</w:t>
            </w:r>
          </w:p>
        </w:tc>
      </w:tr>
      <w:tr w:rsidR="00674DF6" w:rsidRPr="00CE607B" w14:paraId="466A4EB6"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0760135C" w14:textId="77777777" w:rsidR="00674DF6" w:rsidRPr="00CE607B" w:rsidRDefault="00674DF6" w:rsidP="00D330EC">
            <w:pPr>
              <w:jc w:val="center"/>
              <w:rPr>
                <w:bCs/>
              </w:rPr>
            </w:pPr>
            <w:r w:rsidRPr="00CE607B">
              <w:rPr>
                <w:bCs/>
              </w:rPr>
              <w:t>14.</w:t>
            </w:r>
          </w:p>
        </w:tc>
        <w:tc>
          <w:tcPr>
            <w:tcW w:w="7796" w:type="dxa"/>
            <w:gridSpan w:val="4"/>
            <w:tcBorders>
              <w:bottom w:val="single" w:sz="4" w:space="0" w:color="auto"/>
            </w:tcBorders>
            <w:shd w:val="clear" w:color="auto" w:fill="auto"/>
          </w:tcPr>
          <w:p w14:paraId="0BD35B82" w14:textId="1818A97F" w:rsidR="00674DF6" w:rsidRPr="00CE607B" w:rsidRDefault="00FB63BA" w:rsidP="00D330EC">
            <w:pPr>
              <w:jc w:val="both"/>
              <w:rPr>
                <w:b/>
                <w:bCs/>
              </w:rPr>
            </w:pPr>
            <w:r w:rsidRPr="00CE607B">
              <w:t xml:space="preserve">Summary of full semester. </w:t>
            </w:r>
            <w:r w:rsidRPr="00CE607B">
              <w:rPr>
                <w:rFonts w:ascii="Times New Roman" w:hAnsi="Times New Roman"/>
              </w:rPr>
              <w:t>Replacement written test and solving the test.</w:t>
            </w:r>
          </w:p>
        </w:tc>
      </w:tr>
      <w:tr w:rsidR="00204342" w:rsidRPr="00CE607B" w14:paraId="6488C861" w14:textId="77777777" w:rsidTr="00D330EC">
        <w:trPr>
          <w:trHeight w:val="360"/>
        </w:trPr>
        <w:tc>
          <w:tcPr>
            <w:tcW w:w="8789" w:type="dxa"/>
            <w:gridSpan w:val="5"/>
            <w:tcBorders>
              <w:top w:val="single" w:sz="4" w:space="0" w:color="auto"/>
              <w:left w:val="single" w:sz="4" w:space="0" w:color="auto"/>
              <w:bottom w:val="single" w:sz="4" w:space="0" w:color="auto"/>
            </w:tcBorders>
            <w:vAlign w:val="center"/>
          </w:tcPr>
          <w:p w14:paraId="775A76B4" w14:textId="0AEB61AB" w:rsidR="00204342" w:rsidRPr="00CE607B" w:rsidRDefault="00F61A1C" w:rsidP="00204342">
            <w:pPr>
              <w:jc w:val="center"/>
              <w:rPr>
                <w:rFonts w:eastAsia="Arial Unicode MS"/>
                <w:b/>
              </w:rPr>
            </w:pPr>
            <w:r w:rsidRPr="00F61A1C">
              <w:rPr>
                <w:rFonts w:ascii="Arial" w:hAnsi="Arial" w:cs="Arial"/>
                <w:b/>
                <w:bCs/>
                <w:i/>
                <w:iCs/>
                <w:sz w:val="20"/>
                <w:szCs w:val="20"/>
              </w:rPr>
              <w:t>Mid-semester requirements:</w:t>
            </w:r>
          </w:p>
        </w:tc>
      </w:tr>
      <w:tr w:rsidR="00204342" w:rsidRPr="00CE607B" w14:paraId="0324F280" w14:textId="77777777" w:rsidTr="00D330EC">
        <w:trPr>
          <w:trHeight w:val="692"/>
        </w:trPr>
        <w:tc>
          <w:tcPr>
            <w:tcW w:w="8789" w:type="dxa"/>
            <w:gridSpan w:val="5"/>
            <w:tcBorders>
              <w:top w:val="single" w:sz="4" w:space="0" w:color="auto"/>
              <w:left w:val="single" w:sz="4" w:space="0" w:color="auto"/>
            </w:tcBorders>
          </w:tcPr>
          <w:p w14:paraId="6E7C2E24" w14:textId="44B453F8" w:rsidR="00204342" w:rsidRPr="00CE607B" w:rsidRDefault="00204342" w:rsidP="00204342">
            <w:pPr>
              <w:rPr>
                <w:rFonts w:eastAsia="Arial Unicode MS"/>
                <w:i/>
              </w:rPr>
            </w:pPr>
            <w:r w:rsidRPr="00CE607B">
              <w:rPr>
                <w:rFonts w:ascii="Arial" w:hAnsi="Arial" w:cs="Arial"/>
                <w:i/>
                <w:iCs/>
                <w:sz w:val="20"/>
                <w:szCs w:val="20"/>
              </w:rPr>
              <w:t>Attendance at lectures and practices:</w:t>
            </w:r>
          </w:p>
          <w:p w14:paraId="004571A2" w14:textId="61F64247" w:rsidR="00204342" w:rsidRPr="00CE607B" w:rsidRDefault="00204342" w:rsidP="00204342">
            <w:pPr>
              <w:rPr>
                <w:rFonts w:eastAsia="Arial Unicode MS"/>
                <w:bCs/>
              </w:rPr>
            </w:pPr>
            <w:r w:rsidRPr="00CE607B">
              <w:rPr>
                <w:rFonts w:ascii="Arial" w:hAnsi="Arial" w:cs="Arial"/>
                <w:sz w:val="20"/>
                <w:szCs w:val="20"/>
              </w:rPr>
              <w:t>It is compulsory to attend the lectures and practices. The rules of education and exam directory () are the guidelines.</w:t>
            </w:r>
          </w:p>
        </w:tc>
      </w:tr>
      <w:tr w:rsidR="00204342" w:rsidRPr="00CE607B" w14:paraId="7CEB474A" w14:textId="77777777" w:rsidTr="00D330EC">
        <w:trPr>
          <w:trHeight w:val="848"/>
        </w:trPr>
        <w:tc>
          <w:tcPr>
            <w:tcW w:w="8789" w:type="dxa"/>
            <w:gridSpan w:val="5"/>
            <w:tcBorders>
              <w:top w:val="single" w:sz="4" w:space="0" w:color="auto"/>
              <w:left w:val="single" w:sz="4" w:space="0" w:color="auto"/>
            </w:tcBorders>
          </w:tcPr>
          <w:p w14:paraId="3B77D724" w14:textId="0CA1E237" w:rsidR="00204342" w:rsidRPr="00CE607B" w:rsidRDefault="00204342" w:rsidP="00204342">
            <w:pPr>
              <w:rPr>
                <w:rFonts w:eastAsia="Arial Unicode MS"/>
                <w:i/>
              </w:rPr>
            </w:pPr>
            <w:r w:rsidRPr="00CE607B">
              <w:rPr>
                <w:rFonts w:eastAsia="Arial Unicode MS"/>
                <w:i/>
              </w:rPr>
              <w:t>Tests:</w:t>
            </w:r>
          </w:p>
          <w:p w14:paraId="1DA7B615" w14:textId="2F5E0AE0" w:rsidR="00204342" w:rsidRPr="00CE607B" w:rsidRDefault="00204342" w:rsidP="00204342">
            <w:pPr>
              <w:widowControl w:val="0"/>
              <w:autoSpaceDE w:val="0"/>
              <w:autoSpaceDN w:val="0"/>
              <w:adjustRightInd w:val="0"/>
              <w:spacing w:before="40" w:after="40"/>
              <w:jc w:val="both"/>
            </w:pPr>
            <w:r w:rsidRPr="00CE607B">
              <w:t>Written test 1</w:t>
            </w:r>
            <w:r w:rsidR="00A65CB2" w:rsidRPr="00CE607B">
              <w:t xml:space="preserve"> (50 points)</w:t>
            </w:r>
            <w:r w:rsidRPr="00CE607B">
              <w:t xml:space="preserve"> on the week 6.</w:t>
            </w:r>
          </w:p>
          <w:p w14:paraId="4600FA1A" w14:textId="1A16806D" w:rsidR="00204342" w:rsidRPr="00CE607B" w:rsidRDefault="00204342" w:rsidP="00204342">
            <w:pPr>
              <w:widowControl w:val="0"/>
              <w:autoSpaceDE w:val="0"/>
              <w:autoSpaceDN w:val="0"/>
              <w:adjustRightInd w:val="0"/>
              <w:spacing w:before="40" w:after="40"/>
              <w:jc w:val="both"/>
            </w:pPr>
            <w:r w:rsidRPr="00CE607B">
              <w:t>Written test 2</w:t>
            </w:r>
            <w:r w:rsidR="00A65CB2" w:rsidRPr="00CE607B">
              <w:t xml:space="preserve"> (50 points)</w:t>
            </w:r>
            <w:r w:rsidRPr="00CE607B">
              <w:t xml:space="preserve"> on the week 13.</w:t>
            </w:r>
          </w:p>
          <w:p w14:paraId="3B245C07" w14:textId="5C8B5390" w:rsidR="00204342" w:rsidRPr="00CE607B" w:rsidRDefault="00204342" w:rsidP="00204342">
            <w:pPr>
              <w:rPr>
                <w:rFonts w:eastAsia="Arial Unicode MS"/>
                <w:b/>
              </w:rPr>
            </w:pPr>
            <w:r w:rsidRPr="00CE607B">
              <w:t>Replacement written test on the week 14.</w:t>
            </w:r>
          </w:p>
        </w:tc>
      </w:tr>
      <w:tr w:rsidR="00204342" w:rsidRPr="00CE607B" w14:paraId="4666BAA3" w14:textId="77777777" w:rsidTr="00D330EC">
        <w:trPr>
          <w:trHeight w:val="1502"/>
        </w:trPr>
        <w:tc>
          <w:tcPr>
            <w:tcW w:w="8789" w:type="dxa"/>
            <w:gridSpan w:val="5"/>
            <w:tcBorders>
              <w:top w:val="single" w:sz="4" w:space="0" w:color="auto"/>
              <w:left w:val="single" w:sz="4" w:space="0" w:color="auto"/>
            </w:tcBorders>
          </w:tcPr>
          <w:p w14:paraId="312BB8AA" w14:textId="75582227" w:rsidR="00204342" w:rsidRPr="00CE607B" w:rsidRDefault="00204342" w:rsidP="00204342">
            <w:pPr>
              <w:jc w:val="both"/>
              <w:rPr>
                <w:rFonts w:eastAsia="Arial Unicode MS"/>
                <w:bCs/>
              </w:rPr>
            </w:pPr>
            <w:r w:rsidRPr="00CE607B">
              <w:rPr>
                <w:rFonts w:ascii="Arial" w:hAnsi="Arial" w:cs="Arial"/>
                <w:i/>
                <w:iCs/>
                <w:sz w:val="20"/>
                <w:szCs w:val="20"/>
              </w:rPr>
              <w:t>Requirements for qualification:</w:t>
            </w:r>
          </w:p>
          <w:p w14:paraId="07C0F07A" w14:textId="3F73858A" w:rsidR="00A65CB2" w:rsidRPr="00CE607B" w:rsidRDefault="00A65CB2" w:rsidP="00A65CB2">
            <w:pPr>
              <w:jc w:val="center"/>
              <w:rPr>
                <w:sz w:val="20"/>
                <w:szCs w:val="20"/>
              </w:rPr>
            </w:pPr>
            <w:r w:rsidRPr="00CE607B">
              <w:rPr>
                <w:sz w:val="20"/>
                <w:szCs w:val="20"/>
              </w:rPr>
              <w:t>Two written tests. Total points: 100 (= 2·50 points). Term marks: 85-100%: excellent (5), 70-84%: good (4), 55-69%: average (3), 40-54%: pass (2), 0-39%: fail (1)</w:t>
            </w:r>
          </w:p>
          <w:p w14:paraId="5BEA4BB1" w14:textId="0FD61B51" w:rsidR="00204342" w:rsidRPr="00CE607B" w:rsidRDefault="00A65CB2" w:rsidP="00A65CB2">
            <w:pPr>
              <w:jc w:val="both"/>
              <w:rPr>
                <w:sz w:val="24"/>
                <w:szCs w:val="24"/>
              </w:rPr>
            </w:pPr>
            <w:r w:rsidRPr="00CE607B">
              <w:rPr>
                <w:sz w:val="20"/>
                <w:szCs w:val="20"/>
              </w:rPr>
              <w:t>If the student has not met the requirements of obtaining the term mark (e.g., has not written or failed the in-class test, has not submitted the measurement report, etc.), he/she must be given one opportunity to make up for the term mark in the study period. If the student is still unable to obtain the term mark through this opportunity and the requirements of the course give an opportunity for it, then the student can make an attempt to obtain the term mark on one occasion on one of the first ten work days of the examination period against a fee specified in the “Regulations of ÓU on possible benefits for students and on fees and charges payable by them” (hereinafter RBF).</w:t>
            </w:r>
          </w:p>
        </w:tc>
      </w:tr>
      <w:tr w:rsidR="00204342" w:rsidRPr="00CE607B" w14:paraId="66B2E203" w14:textId="77777777" w:rsidTr="00D330EC">
        <w:tblPrEx>
          <w:tblLook w:val="0000" w:firstRow="0" w:lastRow="0" w:firstColumn="0" w:lastColumn="0" w:noHBand="0" w:noVBand="0"/>
        </w:tblPrEx>
        <w:trPr>
          <w:trHeight w:val="316"/>
        </w:trPr>
        <w:tc>
          <w:tcPr>
            <w:tcW w:w="8789" w:type="dxa"/>
            <w:gridSpan w:val="5"/>
          </w:tcPr>
          <w:p w14:paraId="6E12EA49" w14:textId="4F067397" w:rsidR="00204342" w:rsidRPr="00CE607B" w:rsidRDefault="00F61A1C" w:rsidP="00204342">
            <w:pPr>
              <w:autoSpaceDE w:val="0"/>
              <w:autoSpaceDN w:val="0"/>
              <w:jc w:val="center"/>
              <w:rPr>
                <w:b/>
                <w:bCs/>
              </w:rPr>
            </w:pPr>
            <w:r w:rsidRPr="00F61A1C">
              <w:rPr>
                <w:b/>
                <w:bCs/>
                <w:i/>
              </w:rPr>
              <w:t>Professional competencies:</w:t>
            </w:r>
          </w:p>
        </w:tc>
      </w:tr>
      <w:tr w:rsidR="00204342" w:rsidRPr="00CE607B" w14:paraId="29C721A4" w14:textId="77777777" w:rsidTr="00D330EC">
        <w:trPr>
          <w:trHeight w:val="2232"/>
        </w:trPr>
        <w:tc>
          <w:tcPr>
            <w:tcW w:w="8789" w:type="dxa"/>
            <w:gridSpan w:val="5"/>
            <w:tcBorders>
              <w:top w:val="single" w:sz="4" w:space="0" w:color="auto"/>
              <w:left w:val="single" w:sz="4" w:space="0" w:color="auto"/>
              <w:right w:val="single" w:sz="4" w:space="0" w:color="auto"/>
            </w:tcBorders>
          </w:tcPr>
          <w:p w14:paraId="122A9126" w14:textId="1CDD69DD" w:rsidR="00A65CB2" w:rsidRPr="00CE607B" w:rsidRDefault="00A65CB2" w:rsidP="00A65CB2">
            <w:pPr>
              <w:pStyle w:val="paragraph"/>
              <w:numPr>
                <w:ilvl w:val="0"/>
                <w:numId w:val="5"/>
              </w:numPr>
              <w:spacing w:after="0"/>
              <w:textAlignment w:val="baseline"/>
              <w:rPr>
                <w:sz w:val="22"/>
                <w:szCs w:val="22"/>
              </w:rPr>
            </w:pPr>
            <w:r w:rsidRPr="00CE607B">
              <w:rPr>
                <w:sz w:val="22"/>
                <w:szCs w:val="22"/>
              </w:rPr>
              <w:t>Knowledge of the general and specific mathematical, scientific and social principles, rules and contexts necessary for the study of engineering.</w:t>
            </w:r>
          </w:p>
          <w:p w14:paraId="060F1E0C" w14:textId="346DF23E" w:rsidR="00A65CB2" w:rsidRPr="00CE607B" w:rsidRDefault="00A65CB2" w:rsidP="00A65CB2">
            <w:pPr>
              <w:pStyle w:val="paragraph"/>
              <w:numPr>
                <w:ilvl w:val="0"/>
                <w:numId w:val="5"/>
              </w:numPr>
              <w:spacing w:after="0"/>
              <w:textAlignment w:val="baseline"/>
              <w:rPr>
                <w:sz w:val="22"/>
                <w:szCs w:val="22"/>
              </w:rPr>
            </w:pPr>
            <w:r w:rsidRPr="00CE607B">
              <w:rPr>
                <w:sz w:val="22"/>
                <w:szCs w:val="22"/>
              </w:rPr>
              <w:t>Their multidisciplinary knowledge enables them to participate creatively in engineering work and to adapt to constantly changing requirements.</w:t>
            </w:r>
          </w:p>
          <w:p w14:paraId="0D007187" w14:textId="1DF36103" w:rsidR="00A65CB2" w:rsidRPr="00CE607B" w:rsidRDefault="00A65CB2" w:rsidP="00A65CB2">
            <w:pPr>
              <w:pStyle w:val="paragraph"/>
              <w:numPr>
                <w:ilvl w:val="0"/>
                <w:numId w:val="5"/>
              </w:numPr>
              <w:spacing w:after="0"/>
              <w:textAlignment w:val="baseline"/>
              <w:rPr>
                <w:sz w:val="22"/>
                <w:szCs w:val="22"/>
              </w:rPr>
            </w:pPr>
            <w:r w:rsidRPr="00CE607B">
              <w:rPr>
                <w:sz w:val="22"/>
                <w:szCs w:val="22"/>
              </w:rPr>
              <w:t>Open to professional cooperation with professionals in other fields related to their profession.</w:t>
            </w:r>
          </w:p>
          <w:p w14:paraId="6BD3C389" w14:textId="3866608B" w:rsidR="004F7F85" w:rsidRPr="004F7F85" w:rsidRDefault="00A65CB2" w:rsidP="004F7F85">
            <w:pPr>
              <w:pStyle w:val="paragraph"/>
              <w:numPr>
                <w:ilvl w:val="0"/>
                <w:numId w:val="5"/>
              </w:numPr>
              <w:spacing w:after="0"/>
              <w:textAlignment w:val="baseline"/>
              <w:rPr>
                <w:sz w:val="22"/>
                <w:szCs w:val="22"/>
              </w:rPr>
            </w:pPr>
            <w:r w:rsidRPr="00CE607B">
              <w:rPr>
                <w:sz w:val="22"/>
                <w:szCs w:val="22"/>
              </w:rPr>
              <w:t>Strive to continuously improve their knowledge and keep their knowledge of the world up to date through self-education.</w:t>
            </w:r>
          </w:p>
          <w:p w14:paraId="6E2558A8" w14:textId="0909CFC5" w:rsidR="00204342" w:rsidRPr="00CE607B" w:rsidRDefault="00204342" w:rsidP="00A65CB2">
            <w:pPr>
              <w:pStyle w:val="paragraph"/>
              <w:spacing w:after="0"/>
              <w:ind w:left="720"/>
              <w:textAlignment w:val="baseline"/>
              <w:rPr>
                <w:sz w:val="22"/>
                <w:szCs w:val="22"/>
              </w:rPr>
            </w:pPr>
          </w:p>
        </w:tc>
      </w:tr>
      <w:tr w:rsidR="00204342" w:rsidRPr="00CE607B" w14:paraId="70411A19"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576246C0" w14:textId="0AC7EE96" w:rsidR="00204342" w:rsidRPr="00CE607B" w:rsidRDefault="00A65CB2" w:rsidP="00204342">
            <w:pPr>
              <w:jc w:val="center"/>
              <w:rPr>
                <w:b/>
                <w:bCs/>
              </w:rPr>
            </w:pPr>
            <w:r w:rsidRPr="00CE607B">
              <w:rPr>
                <w:rFonts w:ascii="Arial" w:hAnsi="Arial" w:cs="Arial"/>
                <w:b/>
                <w:bCs/>
                <w:smallCaps/>
                <w:sz w:val="20"/>
                <w:szCs w:val="20"/>
              </w:rPr>
              <w:t>L</w:t>
            </w:r>
            <w:r w:rsidRPr="00CE607B">
              <w:rPr>
                <w:rFonts w:ascii="Arial" w:hAnsi="Arial" w:cs="Arial"/>
                <w:b/>
                <w:bCs/>
                <w:sz w:val="20"/>
                <w:szCs w:val="20"/>
              </w:rPr>
              <w:t>iterature</w:t>
            </w:r>
          </w:p>
        </w:tc>
      </w:tr>
      <w:tr w:rsidR="00204342" w:rsidRPr="00CE607B" w14:paraId="31D53D28" w14:textId="77777777" w:rsidTr="00D330EC">
        <w:trPr>
          <w:trHeight w:val="848"/>
        </w:trPr>
        <w:tc>
          <w:tcPr>
            <w:tcW w:w="8789" w:type="dxa"/>
            <w:gridSpan w:val="5"/>
            <w:tcBorders>
              <w:top w:val="single" w:sz="4" w:space="0" w:color="auto"/>
              <w:left w:val="single" w:sz="4" w:space="0" w:color="auto"/>
              <w:right w:val="single" w:sz="4" w:space="0" w:color="auto"/>
            </w:tcBorders>
          </w:tcPr>
          <w:p w14:paraId="0C9335EF" w14:textId="77777777" w:rsidR="00204342" w:rsidRPr="00CE607B" w:rsidRDefault="00204342" w:rsidP="00204342">
            <w:pPr>
              <w:pStyle w:val="paragraph"/>
              <w:spacing w:before="0" w:beforeAutospacing="0" w:after="0" w:afterAutospacing="0"/>
              <w:ind w:left="720"/>
              <w:textAlignment w:val="baseline"/>
              <w:rPr>
                <w:rStyle w:val="spellingerror"/>
                <w:sz w:val="22"/>
                <w:szCs w:val="22"/>
              </w:rPr>
            </w:pPr>
          </w:p>
          <w:p w14:paraId="2EEE76FB" w14:textId="77777777" w:rsidR="00A65CB2" w:rsidRPr="00CE607B" w:rsidRDefault="00A65CB2" w:rsidP="00A65CB2">
            <w:pPr>
              <w:pStyle w:val="Felsorols2"/>
              <w:numPr>
                <w:ilvl w:val="0"/>
                <w:numId w:val="0"/>
              </w:numPr>
              <w:rPr>
                <w:sz w:val="22"/>
                <w:szCs w:val="22"/>
              </w:rPr>
            </w:pPr>
            <w:r w:rsidRPr="00CE607B">
              <w:rPr>
                <w:sz w:val="22"/>
                <w:szCs w:val="22"/>
              </w:rPr>
              <w:t>Serway Jewett: Physics for Scientist and Engineers</w:t>
            </w:r>
          </w:p>
          <w:p w14:paraId="0D573C60" w14:textId="77777777" w:rsidR="00A65CB2" w:rsidRPr="00CE607B" w:rsidRDefault="00A65CB2" w:rsidP="00A65CB2">
            <w:pPr>
              <w:pStyle w:val="Felsorols2"/>
              <w:numPr>
                <w:ilvl w:val="0"/>
                <w:numId w:val="0"/>
              </w:numPr>
              <w:rPr>
                <w:sz w:val="22"/>
                <w:szCs w:val="22"/>
              </w:rPr>
            </w:pPr>
            <w:r w:rsidRPr="00CE607B">
              <w:rPr>
                <w:sz w:val="22"/>
                <w:szCs w:val="22"/>
              </w:rPr>
              <w:t xml:space="preserve">Lóránt Szabó: Physics for Undergraduate Students </w:t>
            </w:r>
          </w:p>
          <w:p w14:paraId="597B107D" w14:textId="66B3E366" w:rsidR="00204342" w:rsidRPr="00CE607B" w:rsidRDefault="00A65CB2" w:rsidP="00A65CB2">
            <w:pPr>
              <w:pStyle w:val="paragraph"/>
              <w:spacing w:before="0" w:beforeAutospacing="0" w:after="0" w:afterAutospacing="0"/>
              <w:textAlignment w:val="baseline"/>
              <w:rPr>
                <w:sz w:val="22"/>
                <w:szCs w:val="22"/>
              </w:rPr>
            </w:pPr>
            <w:r w:rsidRPr="00CE607B">
              <w:rPr>
                <w:sz w:val="22"/>
                <w:szCs w:val="22"/>
              </w:rPr>
              <w:t>Lóránt Szabó: The World of Engineering Mechanics (electronic book)</w:t>
            </w:r>
          </w:p>
          <w:p w14:paraId="629DF424" w14:textId="60AC0455" w:rsidR="00A65CB2" w:rsidRPr="00CE607B" w:rsidRDefault="00A65CB2" w:rsidP="00A65CB2">
            <w:pPr>
              <w:pStyle w:val="paragraph"/>
              <w:spacing w:before="0" w:beforeAutospacing="0" w:after="0" w:afterAutospacing="0"/>
              <w:textAlignment w:val="baseline"/>
              <w:rPr>
                <w:rStyle w:val="normaltextrun"/>
                <w:sz w:val="22"/>
                <w:szCs w:val="22"/>
              </w:rPr>
            </w:pPr>
            <w:r w:rsidRPr="00CE607B">
              <w:t>N. M. Belyaev: Strength of Materials</w:t>
            </w:r>
          </w:p>
          <w:p w14:paraId="61346360" w14:textId="77777777" w:rsidR="00204342" w:rsidRPr="00CE607B" w:rsidRDefault="00204342" w:rsidP="00204342">
            <w:pPr>
              <w:pStyle w:val="paragraph"/>
              <w:spacing w:before="0" w:beforeAutospacing="0" w:after="0" w:afterAutospacing="0"/>
              <w:ind w:left="720"/>
              <w:textAlignment w:val="baseline"/>
              <w:rPr>
                <w:sz w:val="22"/>
                <w:szCs w:val="22"/>
              </w:rPr>
            </w:pPr>
          </w:p>
        </w:tc>
      </w:tr>
    </w:tbl>
    <w:p w14:paraId="6C97C33C" w14:textId="579A00BA" w:rsidR="00087DDC" w:rsidRPr="00674DF6" w:rsidRDefault="00087DDC" w:rsidP="00674DF6">
      <w:pPr>
        <w:rPr>
          <w:sz w:val="36"/>
          <w:szCs w:val="36"/>
        </w:rPr>
      </w:pPr>
    </w:p>
    <w:sectPr w:rsidR="00087DDC" w:rsidRPr="00674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B06D028"/>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C1072A2"/>
    <w:multiLevelType w:val="hybridMultilevel"/>
    <w:tmpl w:val="A0F8DF3A"/>
    <w:lvl w:ilvl="0" w:tplc="BA96A3E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7F0E49"/>
    <w:multiLevelType w:val="hybridMultilevel"/>
    <w:tmpl w:val="9230B906"/>
    <w:lvl w:ilvl="0" w:tplc="23DC3AB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591DD7"/>
    <w:multiLevelType w:val="hybridMultilevel"/>
    <w:tmpl w:val="9996B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3630903"/>
    <w:multiLevelType w:val="hybridMultilevel"/>
    <w:tmpl w:val="AC826A18"/>
    <w:lvl w:ilvl="0" w:tplc="223E20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D1B7835"/>
    <w:multiLevelType w:val="hybridMultilevel"/>
    <w:tmpl w:val="C4AEC3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F1E210A"/>
    <w:multiLevelType w:val="hybridMultilevel"/>
    <w:tmpl w:val="85A45F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29650014">
    <w:abstractNumId w:val="2"/>
  </w:num>
  <w:num w:numId="2" w16cid:durableId="1404599557">
    <w:abstractNumId w:val="1"/>
  </w:num>
  <w:num w:numId="3" w16cid:durableId="2035569347">
    <w:abstractNumId w:val="3"/>
  </w:num>
  <w:num w:numId="4" w16cid:durableId="1495219881">
    <w:abstractNumId w:val="5"/>
  </w:num>
  <w:num w:numId="5" w16cid:durableId="987173548">
    <w:abstractNumId w:val="4"/>
  </w:num>
  <w:num w:numId="6" w16cid:durableId="1646816435">
    <w:abstractNumId w:val="6"/>
  </w:num>
  <w:num w:numId="7" w16cid:durableId="113830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CC"/>
    <w:rsid w:val="000402FC"/>
    <w:rsid w:val="000831AA"/>
    <w:rsid w:val="00087DDC"/>
    <w:rsid w:val="00146BBC"/>
    <w:rsid w:val="00176F68"/>
    <w:rsid w:val="001C654A"/>
    <w:rsid w:val="001F5F85"/>
    <w:rsid w:val="00204342"/>
    <w:rsid w:val="002141CC"/>
    <w:rsid w:val="0025241A"/>
    <w:rsid w:val="00255FF4"/>
    <w:rsid w:val="00264D81"/>
    <w:rsid w:val="002A44F7"/>
    <w:rsid w:val="00322B7F"/>
    <w:rsid w:val="00331138"/>
    <w:rsid w:val="00461212"/>
    <w:rsid w:val="004F7F85"/>
    <w:rsid w:val="0050046B"/>
    <w:rsid w:val="005243C4"/>
    <w:rsid w:val="00585727"/>
    <w:rsid w:val="00674DF6"/>
    <w:rsid w:val="00676336"/>
    <w:rsid w:val="006F243B"/>
    <w:rsid w:val="00712BF2"/>
    <w:rsid w:val="007543B7"/>
    <w:rsid w:val="007929F5"/>
    <w:rsid w:val="007F1D74"/>
    <w:rsid w:val="007F5B0E"/>
    <w:rsid w:val="00902FB2"/>
    <w:rsid w:val="00933D95"/>
    <w:rsid w:val="00977944"/>
    <w:rsid w:val="009A1787"/>
    <w:rsid w:val="00A1501B"/>
    <w:rsid w:val="00A65CB2"/>
    <w:rsid w:val="00AE6478"/>
    <w:rsid w:val="00B30E3E"/>
    <w:rsid w:val="00B53791"/>
    <w:rsid w:val="00B57355"/>
    <w:rsid w:val="00B676F0"/>
    <w:rsid w:val="00BF3240"/>
    <w:rsid w:val="00C20754"/>
    <w:rsid w:val="00C45F06"/>
    <w:rsid w:val="00CA2F33"/>
    <w:rsid w:val="00CB4422"/>
    <w:rsid w:val="00CE607B"/>
    <w:rsid w:val="00CE7F24"/>
    <w:rsid w:val="00CF1EE2"/>
    <w:rsid w:val="00D63111"/>
    <w:rsid w:val="00D820B0"/>
    <w:rsid w:val="00DC6636"/>
    <w:rsid w:val="00E41B4A"/>
    <w:rsid w:val="00E66D9F"/>
    <w:rsid w:val="00E83C89"/>
    <w:rsid w:val="00E9596B"/>
    <w:rsid w:val="00E972D8"/>
    <w:rsid w:val="00EB4E9E"/>
    <w:rsid w:val="00EF41D2"/>
    <w:rsid w:val="00F0444F"/>
    <w:rsid w:val="00F61A1C"/>
    <w:rsid w:val="00FA6103"/>
    <w:rsid w:val="00FB63BA"/>
    <w:rsid w:val="00FC7085"/>
    <w:rsid w:val="00FF6F30"/>
    <w:rsid w:val="366BE1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1C5B"/>
  <w15:docId w15:val="{78BCDF82-E3F5-46F4-B023-7AEF134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paragraph" w:styleId="Cmsor2">
    <w:name w:val="heading 2"/>
    <w:basedOn w:val="Norml"/>
    <w:next w:val="Norml"/>
    <w:link w:val="Cmsor2Char"/>
    <w:qFormat/>
    <w:rsid w:val="002141CC"/>
    <w:pPr>
      <w:keepNext/>
      <w:widowControl w:val="0"/>
      <w:autoSpaceDE w:val="0"/>
      <w:autoSpaceDN w:val="0"/>
      <w:adjustRightInd w:val="0"/>
      <w:spacing w:before="40" w:after="40" w:line="240" w:lineRule="auto"/>
      <w:outlineLvl w:val="1"/>
    </w:pPr>
    <w:rPr>
      <w:rFonts w:ascii="Arial" w:eastAsia="Times New Roman" w:hAnsi="Arial" w:cs="Times New Roman"/>
      <w:i/>
      <w:iCs/>
      <w:kern w:val="0"/>
      <w:sz w:val="20"/>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2141CC"/>
    <w:rPr>
      <w:rFonts w:ascii="Arial" w:eastAsia="Times New Roman" w:hAnsi="Arial" w:cs="Times New Roman"/>
      <w:i/>
      <w:iCs/>
      <w:kern w:val="0"/>
      <w:sz w:val="20"/>
      <w:szCs w:val="24"/>
      <w14:ligatures w14:val="none"/>
    </w:rPr>
  </w:style>
  <w:style w:type="paragraph" w:customStyle="1" w:styleId="Lers">
    <w:name w:val="Leírás"/>
    <w:basedOn w:val="Norml"/>
    <w:rsid w:val="002141CC"/>
    <w:pPr>
      <w:widowControl w:val="0"/>
      <w:autoSpaceDE w:val="0"/>
      <w:autoSpaceDN w:val="0"/>
      <w:adjustRightInd w:val="0"/>
      <w:spacing w:before="40" w:after="40" w:line="240" w:lineRule="auto"/>
      <w:jc w:val="both"/>
    </w:pPr>
    <w:rPr>
      <w:rFonts w:ascii="Arial" w:eastAsia="Times New Roman" w:hAnsi="Arial" w:cs="Times New Roman"/>
      <w:kern w:val="0"/>
      <w:sz w:val="20"/>
      <w:szCs w:val="24"/>
      <w14:ligatures w14:val="none"/>
    </w:rPr>
  </w:style>
  <w:style w:type="paragraph" w:styleId="Listaszerbekezds">
    <w:name w:val="List Paragraph"/>
    <w:basedOn w:val="Norml"/>
    <w:qFormat/>
    <w:rsid w:val="00EB4E9E"/>
    <w:pPr>
      <w:ind w:left="720"/>
      <w:contextualSpacing/>
    </w:pPr>
  </w:style>
  <w:style w:type="paragraph" w:customStyle="1" w:styleId="paragraph">
    <w:name w:val="paragraph"/>
    <w:basedOn w:val="Norml"/>
    <w:rsid w:val="00674DF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normaltextrun">
    <w:name w:val="normaltextrun"/>
    <w:basedOn w:val="Bekezdsalapbettpusa"/>
    <w:rsid w:val="00674DF6"/>
  </w:style>
  <w:style w:type="character" w:customStyle="1" w:styleId="eop">
    <w:name w:val="eop"/>
    <w:basedOn w:val="Bekezdsalapbettpusa"/>
    <w:rsid w:val="00674DF6"/>
  </w:style>
  <w:style w:type="character" w:customStyle="1" w:styleId="spellingerror">
    <w:name w:val="spellingerror"/>
    <w:basedOn w:val="Bekezdsalapbettpusa"/>
    <w:rsid w:val="00674DF6"/>
  </w:style>
  <w:style w:type="paragraph" w:styleId="Felsorols2">
    <w:name w:val="List Bullet 2"/>
    <w:basedOn w:val="Norml"/>
    <w:autoRedefine/>
    <w:rsid w:val="00A65CB2"/>
    <w:pPr>
      <w:numPr>
        <w:numId w:val="7"/>
      </w:numPr>
      <w:tabs>
        <w:tab w:val="clear" w:pos="643"/>
        <w:tab w:val="num" w:pos="355"/>
      </w:tabs>
      <w:spacing w:after="0" w:line="240" w:lineRule="auto"/>
      <w:ind w:left="355" w:hanging="242"/>
      <w:jc w:val="both"/>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40368">
      <w:bodyDiv w:val="1"/>
      <w:marLeft w:val="0"/>
      <w:marRight w:val="0"/>
      <w:marTop w:val="0"/>
      <w:marBottom w:val="0"/>
      <w:divBdr>
        <w:top w:val="none" w:sz="0" w:space="0" w:color="auto"/>
        <w:left w:val="none" w:sz="0" w:space="0" w:color="auto"/>
        <w:bottom w:val="none" w:sz="0" w:space="0" w:color="auto"/>
        <w:right w:val="none" w:sz="0" w:space="0" w:color="auto"/>
      </w:divBdr>
    </w:div>
    <w:div w:id="20428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FD0FB-05D8-4AEE-AB8C-AE4F09B697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AA4063-2204-4E8D-9CFA-3838F4BB27DC}">
  <ds:schemaRefs>
    <ds:schemaRef ds:uri="http://schemas.microsoft.com/sharepoint/v3/contenttype/forms"/>
  </ds:schemaRefs>
</ds:datastoreItem>
</file>

<file path=customXml/itemProps3.xml><?xml version="1.0" encoding="utf-8"?>
<ds:datastoreItem xmlns:ds="http://schemas.openxmlformats.org/officeDocument/2006/customXml" ds:itemID="{4F61840E-CBC5-4281-A42D-7C470905B334}">
  <ds:schemaRefs>
    <ds:schemaRef ds:uri="http://schemas.openxmlformats.org/officeDocument/2006/bibliography"/>
  </ds:schemaRefs>
</ds:datastoreItem>
</file>

<file path=customXml/itemProps4.xml><?xml version="1.0" encoding="utf-8"?>
<ds:datastoreItem xmlns:ds="http://schemas.openxmlformats.org/officeDocument/2006/customXml" ds:itemID="{4F912C49-D8E2-4F16-AEB4-296D1F6B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596</Words>
  <Characters>4119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Dr. Szabó Lóránt</cp:lastModifiedBy>
  <cp:revision>7</cp:revision>
  <dcterms:created xsi:type="dcterms:W3CDTF">2025-02-20T15:15:00Z</dcterms:created>
  <dcterms:modified xsi:type="dcterms:W3CDTF">2025-02-21T06:25:00Z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