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53"/>
        <w:gridCol w:w="2128"/>
        <w:gridCol w:w="2283"/>
        <w:gridCol w:w="1775"/>
        <w:gridCol w:w="10"/>
      </w:tblGrid>
      <w:tr w:rsidR="00C05A15" w:rsidRPr="00C05A15" w14:paraId="23593D3C" w14:textId="77777777" w:rsidTr="00CE30AC"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16" w14:textId="44D051E3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Tárgy neve: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94AC07" w14:textId="345FEF50" w:rsidR="00C05A15" w:rsidRPr="00107403" w:rsidRDefault="007C0F2E" w:rsidP="5320F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Kármentesítési technológiák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E37" w14:textId="0EDBB04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NEPTUN-kód: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FB4E7" w14:textId="2F075EC5" w:rsidR="00C05A15" w:rsidRPr="00461613" w:rsidRDefault="007C0F2E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F2E">
              <w:rPr>
                <w:rFonts w:ascii="Times New Roman" w:hAnsi="Times New Roman" w:cs="Times New Roman"/>
              </w:rPr>
              <w:t>RKXKT1AMLF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0F0" w14:textId="4D09199D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Óraszám: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1BF73A70">
              <w:rPr>
                <w:rFonts w:ascii="Times New Roman" w:eastAsia="Times New Roman" w:hAnsi="Times New Roman" w:cs="Times New Roman"/>
              </w:rPr>
              <w:t>ea+gy+lb</w:t>
            </w:r>
            <w:proofErr w:type="spellEnd"/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F30C54" w14:textId="3A80E35C" w:rsidR="00C05A15" w:rsidRPr="00C05A15" w:rsidRDefault="00974CB0" w:rsidP="5BAB80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+</w:t>
            </w:r>
            <w:r w:rsidR="00107403">
              <w:rPr>
                <w:rFonts w:ascii="Times New Roman" w:eastAsia="Times New Roman" w:hAnsi="Times New Roman" w:cs="Times New Roman"/>
              </w:rPr>
              <w:t>1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0+</w:t>
            </w:r>
            <w:r w:rsidR="00107403">
              <w:rPr>
                <w:rFonts w:ascii="Times New Roman" w:eastAsia="Times New Roman" w:hAnsi="Times New Roman" w:cs="Times New Roman"/>
              </w:rPr>
              <w:t>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67" w14:textId="3E4ECC0E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Kredit: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7C0F2E">
              <w:rPr>
                <w:rFonts w:ascii="Times New Roman" w:eastAsia="Times New Roman" w:hAnsi="Times New Roman" w:cs="Times New Roman"/>
              </w:rPr>
              <w:t>5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2DF409" w14:textId="32A96775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Köv.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: v </w:t>
            </w:r>
          </w:p>
          <w:p w14:paraId="378924E5" w14:textId="3D486635" w:rsidR="00C05A15" w:rsidRPr="00C05A15" w:rsidRDefault="35C237A1" w:rsidP="5BAB80C8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C05A15" w:rsidRPr="00C05A15" w14:paraId="0F6C9D50" w14:textId="77777777" w:rsidTr="00CE30AC"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1A" w14:textId="69EFC5A2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Tantárgyfelelős: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9A31E4" w14:textId="705493D0" w:rsidR="00A91C7F" w:rsidRPr="007C0F2E" w:rsidRDefault="007C0F2E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0F2E">
              <w:rPr>
                <w:rFonts w:ascii="Times New Roman" w:eastAsia="Times New Roman" w:hAnsi="Times New Roman" w:cs="Times New Roman"/>
              </w:rPr>
              <w:t>Dr. Ágoston Csaba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4F9" w14:textId="36F1AD7B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Beosztás: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1EE9A8" w14:textId="77B798D5" w:rsidR="00A91C7F" w:rsidRPr="007C0F2E" w:rsidRDefault="35C237A1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1BF73A70">
              <w:rPr>
                <w:rFonts w:ascii="Times New Roman" w:eastAsia="Times New Roman" w:hAnsi="Times New Roman" w:cs="Times New Roman"/>
              </w:rPr>
              <w:t xml:space="preserve">egyetemi </w:t>
            </w:r>
            <w:r w:rsidR="00974CB0">
              <w:rPr>
                <w:rFonts w:ascii="Times New Roman" w:eastAsia="Times New Roman" w:hAnsi="Times New Roman" w:cs="Times New Roman"/>
              </w:rPr>
              <w:t>adjunktus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E0" w14:textId="2EC07966" w:rsidR="00C05A15" w:rsidRPr="00C05A15" w:rsidRDefault="35C237A1" w:rsidP="1BF73A70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Előkövetelmény: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-</w:t>
            </w:r>
          </w:p>
          <w:p w14:paraId="0D3D9AE9" w14:textId="0DD490B7" w:rsidR="00C05A15" w:rsidRPr="00C05A15" w:rsidRDefault="35C237A1" w:rsidP="5BAB80C8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5A15" w:rsidRPr="00C05A15" w14:paraId="0B0264F9" w14:textId="77777777" w:rsidTr="00CE30AC"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21A7AB17" w:rsidR="00C05A15" w:rsidRPr="00C05A15" w:rsidRDefault="25CCA2B3" w:rsidP="5BAB8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BAB80C8">
              <w:rPr>
                <w:rFonts w:ascii="Times New Roman" w:eastAsia="Times New Roman" w:hAnsi="Times New Roman" w:cs="Times New Roman"/>
                <w:b/>
                <w:bCs/>
              </w:rPr>
              <w:t>Ismeretanyag leírása</w:t>
            </w:r>
          </w:p>
        </w:tc>
      </w:tr>
      <w:tr w:rsidR="00C05A15" w:rsidRPr="00C05A15" w14:paraId="6FE681F2" w14:textId="77777777" w:rsidTr="00CE30AC">
        <w:trPr>
          <w:trHeight w:val="1610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7E4" w14:textId="6CF508A8" w:rsidR="00A91C7F" w:rsidRPr="00107403" w:rsidRDefault="007C0F2E" w:rsidP="00974CB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C0F2E">
              <w:rPr>
                <w:rFonts w:ascii="Times New Roman" w:hAnsi="Times New Roman" w:cs="Times New Roman"/>
                <w:bCs/>
              </w:rPr>
              <w:t>Szerves és szervetlen szennyező anyagok tulajdonságai, viselkedésük a környezetben. A talaj, felszíni víz és felszín alatti víz szennyeződésének sajátságai. Környezetterhelés, környezetszennyezés, környezeti kár. A kármentesítés fogalma, célja. Kockázatbecslés, kármentesítési célérték. Szűrővizsgálat, elővizsgálat, tényfeltárás, műszaki beavatkozás, utómonitoring. In situ és ex situ módszerek: Fizikai módszerek, kémiai módszerek, biológiai és biokémiai módszerek. A tényfeltárás és műszaki beavatkozás dokumentumai.</w:t>
            </w:r>
          </w:p>
        </w:tc>
      </w:tr>
      <w:tr w:rsidR="00C05A15" w:rsidRPr="005D6475" w14:paraId="39B268CB" w14:textId="77777777" w:rsidTr="00CE30AC">
        <w:trPr>
          <w:trHeight w:val="257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5D6475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D6475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5443D5" w:rsidRPr="005D6475" w14:paraId="49A95502" w14:textId="77777777" w:rsidTr="00CE30AC">
        <w:trPr>
          <w:gridAfter w:val="1"/>
          <w:wAfter w:w="10" w:type="dxa"/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3AF88876" w:rsidR="005443D5" w:rsidRPr="00107403" w:rsidRDefault="00107403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C3A">
              <w:rPr>
                <w:rFonts w:ascii="Times New Roman" w:hAnsi="Times New Roman" w:cs="Times New Roman"/>
                <w:b/>
                <w:sz w:val="20"/>
                <w:szCs w:val="20"/>
              </w:rPr>
              <w:t>Konzul-</w:t>
            </w:r>
            <w:proofErr w:type="spellStart"/>
            <w:r w:rsidRPr="00ED6C3A">
              <w:rPr>
                <w:rFonts w:ascii="Times New Roman" w:hAnsi="Times New Roman" w:cs="Times New Roman"/>
                <w:b/>
                <w:sz w:val="20"/>
                <w:szCs w:val="20"/>
              </w:rPr>
              <w:t>táció</w:t>
            </w:r>
            <w:proofErr w:type="spellEnd"/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5D6475" w:rsidRDefault="005443D5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475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107403" w:rsidRPr="00107403" w14:paraId="77FFD9B3" w14:textId="77777777" w:rsidTr="00CE30AC">
        <w:trPr>
          <w:gridAfter w:val="1"/>
          <w:wAfter w:w="10" w:type="dxa"/>
          <w:trHeight w:val="1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331C4" w14:textId="6C610FDC" w:rsidR="00CE30AC" w:rsidRDefault="007C0F2E" w:rsidP="000C3C1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ea</w:t>
            </w:r>
            <w:proofErr w:type="spellEnd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7368468" w14:textId="6B6B5686" w:rsidR="00107403" w:rsidRPr="007C0F2E" w:rsidRDefault="007C0F2E" w:rsidP="003A60C7">
            <w:pPr>
              <w:spacing w:after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árc. 1. 11:40-15:10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2B5A86" w14:textId="7C71B26F" w:rsidR="00CE30AC" w:rsidRPr="00F5408F" w:rsidRDefault="00D62619" w:rsidP="00F5408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F5408F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Kármentesítés jog</w:t>
            </w:r>
            <w:r w:rsidR="00CE30AC" w:rsidRPr="00F5408F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i megalapozása gyakorlati szempontból</w:t>
            </w:r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D0259C">
              <w:rPr>
                <w:rFonts w:ascii="Times New Roman" w:eastAsia="Arial" w:hAnsi="Times New Roman" w:cs="Times New Roman"/>
                <w:sz w:val="20"/>
                <w:szCs w:val="20"/>
              </w:rPr>
              <w:t>oktató: Pataki Dávid)</w:t>
            </w:r>
          </w:p>
          <w:p w14:paraId="76DBD672" w14:textId="201911E5" w:rsidR="00107403" w:rsidRDefault="00F5408F" w:rsidP="00307753">
            <w:pPr>
              <w:spacing w:after="120" w:line="240" w:lineRule="auto"/>
              <w:ind w:left="45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J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ogi alapismeretek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Környezetvédelmet megalapozó jogszabályok releváns rendelkezéseinek áttekintése (Magyarország Alaptörvénye, 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1995. évi LIII. törvény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).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ármentesítés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 szabályozó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jogszabályok részletes elemzése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219/2004. (VII.21.) Korm. rendelet, 6/2009. (IV.14.) </w:t>
            </w:r>
            <w:proofErr w:type="spellStart"/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KvVM</w:t>
            </w:r>
            <w:proofErr w:type="spellEnd"/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-EüM-FVM együttes rendelet, 14/2005. (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VI.28.) </w:t>
            </w:r>
            <w:proofErr w:type="spellStart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KvVM</w:t>
            </w:r>
            <w:proofErr w:type="spellEnd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rendelet, 18/2007. (V.10.) </w:t>
            </w:r>
            <w:proofErr w:type="spellStart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KvVM</w:t>
            </w:r>
            <w:proofErr w:type="spellEnd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rendelet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).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Kármentesítéshez 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kapcsolódó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egyéb 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jogszabályok rövid áttekintése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(90/2007. (IV.26.) Korm. rendelet, egyéb szakterületi jogszabályok).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Hatósági döntésekkel 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kapcsolatos alapismeretek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(2016. CL. törvény).</w:t>
            </w:r>
          </w:p>
          <w:p w14:paraId="68D637CD" w14:textId="4F301609" w:rsidR="00CE30AC" w:rsidRPr="00CE30AC" w:rsidRDefault="00CE30AC" w:rsidP="00CE30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CE30AC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 mintavételektől a mérési eredmények kiadásáig és azok feldolgozásáig</w:t>
            </w:r>
            <w:r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D0259C">
              <w:rPr>
                <w:rFonts w:ascii="Times New Roman" w:eastAsia="Arial" w:hAnsi="Times New Roman" w:cs="Times New Roman"/>
                <w:sz w:val="20"/>
                <w:szCs w:val="20"/>
              </w:rPr>
              <w:t>oktató</w:t>
            </w:r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>: Garamvári Zsolt)</w:t>
            </w:r>
          </w:p>
          <w:p w14:paraId="31828A49" w14:textId="7E8F8683" w:rsidR="00CE30AC" w:rsidRPr="00974CB0" w:rsidRDefault="00CE30AC" w:rsidP="00CE30AC">
            <w:pPr>
              <w:spacing w:after="240" w:line="240" w:lineRule="auto"/>
              <w:ind w:left="459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CE30AC">
              <w:rPr>
                <w:rFonts w:ascii="Times New Roman" w:eastAsia="Arial" w:hAnsi="Times New Roman" w:cs="Times New Roman"/>
                <w:sz w:val="20"/>
                <w:szCs w:val="20"/>
              </w:rPr>
              <w:t>Egy adott terület környezeti állapotának megismeréséhez szükséges mintavételek és helyszíni mérések bemutatása. Az „akkreditáció” fogalma és célja. A „szabványosítás” célja, a szabványok általános alapelvei. A helyszíni mérések követelményrendszere, módszertana, eszközei, kivitelezése. Akkreditált mintavétel földtani közegből és felszín alatti vízből (irányelvek, módszerek, eszközök). A mintavételi körülmények és megfigyelések, valamint a helyszíni mérési eredmények és laboratóriumi vizsgálati eredmények összefüggéseinek bemutatása a szennyezőanyagok detektálása és a vizsgálati eredmények értelmezése szempontjából. A mintavételek és helyszíni mérések helyes dokumentálása. Monitoring műtárgyak bemutatása (monitoring kút, biztosított furat). Mintatartósítás és a megvett minták további kezelése a vizsgáló laboratóriumban történő feldolgozásig és az eredmények kiadásáig. A helyes gyakorlat és problémamegoldás gyakorlati példák bemutatásán keresztül.</w:t>
            </w:r>
          </w:p>
        </w:tc>
      </w:tr>
      <w:tr w:rsidR="007C0F2E" w:rsidRPr="00107403" w14:paraId="4A1AC332" w14:textId="77777777" w:rsidTr="00CE30AC">
        <w:trPr>
          <w:gridAfter w:val="1"/>
          <w:wAfter w:w="10" w:type="dxa"/>
          <w:trHeight w:val="1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0138" w14:textId="03F9C696" w:rsidR="007C0F2E" w:rsidRDefault="007C0F2E" w:rsidP="000C3C1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ea</w:t>
            </w:r>
            <w:proofErr w:type="spellEnd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9F9A6A8" w14:textId="1455A99F" w:rsidR="007C0F2E" w:rsidRPr="00EA03AB" w:rsidRDefault="007C0F2E" w:rsidP="003A60C7">
            <w:pPr>
              <w:spacing w:after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márc.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. 11:40-15:10</w:t>
            </w:r>
          </w:p>
          <w:p w14:paraId="657ACB60" w14:textId="540620F0" w:rsidR="007C0F2E" w:rsidRPr="00EA03AB" w:rsidRDefault="007C0F2E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40D7C456" w14:textId="58FE6FA9" w:rsidR="007C0F2E" w:rsidRDefault="00307753" w:rsidP="0030775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307753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Feltárások</w:t>
            </w:r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(oktató: </w:t>
            </w:r>
            <w:proofErr w:type="spellStart"/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>Stickel</w:t>
            </w:r>
            <w:proofErr w:type="spellEnd"/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János)</w:t>
            </w:r>
          </w:p>
          <w:p w14:paraId="3399B8D5" w14:textId="5B570A1C" w:rsidR="00307753" w:rsidRPr="00307753" w:rsidRDefault="00307753" w:rsidP="00307753">
            <w:pPr>
              <w:spacing w:after="120" w:line="240" w:lineRule="auto"/>
              <w:ind w:left="4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7753">
              <w:rPr>
                <w:rFonts w:ascii="Times New Roman" w:eastAsia="Arial" w:hAnsi="Times New Roman" w:cs="Times New Roman"/>
                <w:sz w:val="20"/>
                <w:szCs w:val="20"/>
              </w:rPr>
              <w:t>Feltárások célja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i, módszerei, típusai. Archív nyilvános adatbázisok.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Roncsolásos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feltárási módszerek (különböző típusú fúrások) és azok dokumentálása. Kvázi roncsolásmentes feltárások (</w:t>
            </w:r>
            <w:r w:rsidR="005A3B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különböző típusú szondázások) és azok dokumentálása. Roncsolásmentes módszerek (felszíni geofizika, mélyfúrás geofizika) és azok dokumentálása.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Szennyeződések elhelyezkedése a felszín alatti közegekben.</w:t>
            </w:r>
          </w:p>
          <w:p w14:paraId="69108625" w14:textId="60340F66" w:rsidR="003D7D7C" w:rsidRPr="003D7D7C" w:rsidRDefault="003D7D7C" w:rsidP="003D7D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3D7D7C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Tényfeltárási záródokumentáció tartalma, mennyiségi kockázatfelmérés és értékelése, numerikus hidrodinamikai- és transzportmodellezés</w:t>
            </w:r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(oktató: Fábián Péter)</w:t>
            </w:r>
          </w:p>
          <w:p w14:paraId="32D9017C" w14:textId="1D1D6CF3" w:rsidR="003D7D7C" w:rsidRPr="00974CB0" w:rsidRDefault="003D7D7C" w:rsidP="003D7D7C">
            <w:pPr>
              <w:spacing w:after="240" w:line="240" w:lineRule="auto"/>
              <w:ind w:left="46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3D7D7C">
              <w:rPr>
                <w:rFonts w:ascii="Times New Roman" w:eastAsia="Arial" w:hAnsi="Times New Roman" w:cs="Times New Roman"/>
                <w:sz w:val="20"/>
                <w:szCs w:val="20"/>
              </w:rPr>
              <w:t>Alapfogalmak, határértékek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Tényfeltárás alapjai, célja, módszertana, gyakorlati nehézségei. Tényfeltárási záródokumentáció tartalma. </w:t>
            </w:r>
            <w:r w:rsidR="005D55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Szennyezőanyagok típusai, eloszlása, terjedése. </w:t>
            </w:r>
            <w:r w:rsidR="00F44EA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Feltárások metodikája és célja. </w:t>
            </w:r>
            <w:r w:rsidR="005D551D">
              <w:rPr>
                <w:rFonts w:ascii="Times New Roman" w:eastAsia="Arial" w:hAnsi="Times New Roman" w:cs="Times New Roman"/>
                <w:sz w:val="20"/>
                <w:szCs w:val="20"/>
              </w:rPr>
              <w:t>Vizsgálati eredmények értékelése (földtani modell, hidraulikai viszonyok, kötött szennyezettség, oldott szennyezettség, idősorok trendvizsgálata). Természetes szennyezőanyag koncentráció csökkenés. Részletes mennyiségi kockázatfelmérés. Numerikus hidrodinamikai modellezés. Numerikus transzportmodellezés. (D) kármentesítési célállapot határérték számítás.</w:t>
            </w:r>
          </w:p>
        </w:tc>
      </w:tr>
      <w:tr w:rsidR="007C0F2E" w:rsidRPr="00107403" w14:paraId="0E1D7BD7" w14:textId="77777777" w:rsidTr="00696640">
        <w:trPr>
          <w:gridAfter w:val="1"/>
          <w:wAfter w:w="10" w:type="dxa"/>
          <w:trHeight w:val="113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24F1" w14:textId="447B8783" w:rsidR="003A60C7" w:rsidRDefault="007C0F2E" w:rsidP="0018550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ea</w:t>
            </w:r>
            <w:proofErr w:type="spellEnd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6E91A2F" w14:textId="20441F58" w:rsidR="007C0F2E" w:rsidRPr="00EA03AB" w:rsidRDefault="007C0F2E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márc.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. 11:40-15:10</w:t>
            </w:r>
          </w:p>
        </w:tc>
        <w:tc>
          <w:tcPr>
            <w:tcW w:w="8039" w:type="dxa"/>
            <w:gridSpan w:val="4"/>
            <w:shd w:val="clear" w:color="auto" w:fill="auto"/>
          </w:tcPr>
          <w:p w14:paraId="18ED2C95" w14:textId="05894CF5" w:rsidR="007C0F2E" w:rsidRPr="00696640" w:rsidRDefault="00696640" w:rsidP="006966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Kármentesítési b</w:t>
            </w:r>
            <w:r w:rsidRPr="00696640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eavatkozási technológiák</w:t>
            </w:r>
            <w:r w:rsidR="00D0259C"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(oktató: Kaszás István)</w:t>
            </w:r>
          </w:p>
          <w:p w14:paraId="779E472D" w14:textId="1861058E" w:rsidR="00696640" w:rsidRPr="00974CB0" w:rsidRDefault="004F7AAF" w:rsidP="00696640">
            <w:pPr>
              <w:spacing w:after="240" w:line="240" w:lineRule="auto"/>
              <w:ind w:left="46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4F7AAF">
              <w:rPr>
                <w:rFonts w:ascii="Times New Roman" w:eastAsia="Arial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chnológiák csoportosítása és bemutatása (földtani közegre, illetve felszín alatti vízre vonatkozók; in situ, illetve ex situ; fizikai, kémiai, illetve biológiai). Esettanulmányok (Konkrét kármentesítő rendszerek, illetve azok létesítésének és üzemeltetésének bemutatása.)</w:t>
            </w:r>
          </w:p>
        </w:tc>
      </w:tr>
      <w:tr w:rsidR="007C0F2E" w:rsidRPr="00107403" w14:paraId="38F4ABFE" w14:textId="77777777" w:rsidTr="00C52D5A">
        <w:trPr>
          <w:gridAfter w:val="1"/>
          <w:wAfter w:w="10" w:type="dxa"/>
          <w:trHeight w:val="1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0CA7A" w14:textId="16B43D15" w:rsidR="007C0F2E" w:rsidRDefault="007C0F2E" w:rsidP="000C3C1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5D551D">
              <w:rPr>
                <w:rFonts w:ascii="Times New Roman" w:hAnsi="Times New Roman" w:cs="Times New Roman"/>
                <w:bCs/>
                <w:sz w:val="20"/>
                <w:szCs w:val="20"/>
              </w:rPr>
              <w:t>– 5.</w:t>
            </w:r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gy</w:t>
            </w:r>
            <w:proofErr w:type="spellEnd"/>
          </w:p>
          <w:p w14:paraId="18146F04" w14:textId="7A4F6A8F" w:rsidR="007C0F2E" w:rsidRPr="00EA03AB" w:rsidRDefault="007C0F2E" w:rsidP="003A60C7">
            <w:pPr>
              <w:spacing w:after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ápr. 12.</w:t>
            </w:r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11:40-1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39" w:type="dxa"/>
            <w:gridSpan w:val="4"/>
            <w:shd w:val="clear" w:color="auto" w:fill="auto"/>
          </w:tcPr>
          <w:p w14:paraId="5A5E31C9" w14:textId="1563348C" w:rsidR="007C0F2E" w:rsidRPr="00C52D5A" w:rsidRDefault="00365AF6" w:rsidP="00C5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Gyakorlati </w:t>
            </w:r>
            <w:r w:rsidR="00F44EAE"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képzés az ELGOSCAR Környezettechnológiai Zrt. </w:t>
            </w:r>
            <w:r w:rsidR="00D025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</w:t>
            </w:r>
            <w:r w:rsidR="00F44EAE"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udapest</w:t>
            </w:r>
            <w:r w:rsidR="00D025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Soroksári út 164. szám alatti</w:t>
            </w:r>
            <w:r w:rsidR="00F44EAE"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telephelyén</w:t>
            </w:r>
          </w:p>
          <w:p w14:paraId="62F3AB04" w14:textId="7D8DBE49" w:rsidR="000C3C16" w:rsidRPr="005D551D" w:rsidRDefault="00C52D5A" w:rsidP="000C3C16">
            <w:pPr>
              <w:spacing w:after="240" w:line="240" w:lineRule="auto"/>
              <w:ind w:left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Egyszerű terepi munkavégzések bemutatása, majd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bemutatottak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gyakorlati elsajátítása. Szabványos talajmintavétel kézi fúrással. Szabványos talajvíz mintavétel monitoring kútból. Hidraulikai kútteszt végzése monitoring kútban. A kútteszt kiértékelése. Monitoring kút geodéziai bemérése GNSS rendszerű GPS berendezéssel.</w:t>
            </w:r>
            <w:r w:rsidR="004F7AAF">
              <w:rPr>
                <w:rFonts w:ascii="Times New Roman" w:hAnsi="Times New Roman" w:cs="Times New Roman"/>
                <w:sz w:val="20"/>
                <w:szCs w:val="20"/>
              </w:rPr>
              <w:t xml:space="preserve"> Felszíni </w:t>
            </w:r>
            <w:proofErr w:type="spellStart"/>
            <w:r w:rsidR="004F7AAF">
              <w:rPr>
                <w:rFonts w:ascii="Times New Roman" w:hAnsi="Times New Roman" w:cs="Times New Roman"/>
                <w:sz w:val="20"/>
                <w:szCs w:val="20"/>
              </w:rPr>
              <w:t>geoelektromos</w:t>
            </w:r>
            <w:proofErr w:type="spellEnd"/>
            <w:r w:rsidR="004F7AAF">
              <w:rPr>
                <w:rFonts w:ascii="Times New Roman" w:hAnsi="Times New Roman" w:cs="Times New Roman"/>
                <w:sz w:val="20"/>
                <w:szCs w:val="20"/>
              </w:rPr>
              <w:t xml:space="preserve"> geofizikai mérés.</w:t>
            </w:r>
          </w:p>
        </w:tc>
      </w:tr>
      <w:tr w:rsidR="005D6475" w:rsidRPr="005D6475" w14:paraId="7BE99138" w14:textId="77777777" w:rsidTr="00CE30AC">
        <w:trPr>
          <w:trHeight w:val="257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6D46D72B" w:rsidR="005D6475" w:rsidRPr="005D6475" w:rsidRDefault="005D6475" w:rsidP="005D6475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475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FF5F97" w:rsidRPr="005D6475" w14:paraId="2AC42BB7" w14:textId="77777777" w:rsidTr="00CE30AC">
        <w:trPr>
          <w:trHeight w:val="1502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9D1AF" w14:textId="2230F072" w:rsidR="00FF5F97" w:rsidRPr="009E7EDD" w:rsidRDefault="00FF5F97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Foglalkozásokon való részvétel:</w:t>
            </w:r>
          </w:p>
          <w:p w14:paraId="0AF316F3" w14:textId="621F613B" w:rsidR="00FF5F97" w:rsidRPr="00FA0A11" w:rsidRDefault="72E7C0E5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" w:hAnsi="Times New Roman" w:cs="Times New Roman"/>
              </w:rPr>
              <w:t>Az előadások</w:t>
            </w:r>
            <w:r w:rsidR="00302541">
              <w:rPr>
                <w:rFonts w:ascii="Times New Roman" w:eastAsia="Arial" w:hAnsi="Times New Roman" w:cs="Times New Roman"/>
              </w:rPr>
              <w:t>on</w:t>
            </w:r>
            <w:r w:rsidRPr="009E7EDD">
              <w:rPr>
                <w:rFonts w:ascii="Times New Roman" w:eastAsia="Arial" w:hAnsi="Times New Roman" w:cs="Times New Roman"/>
              </w:rPr>
              <w:t xml:space="preserve"> és a gyakorlatok</w:t>
            </w:r>
            <w:r w:rsidR="00302541">
              <w:rPr>
                <w:rFonts w:ascii="Times New Roman" w:eastAsia="Arial" w:hAnsi="Times New Roman" w:cs="Times New Roman"/>
              </w:rPr>
              <w:t xml:space="preserve">on való részvételt a Hallgatói Követelményrendszer (HKR) rögzíti.  </w:t>
            </w:r>
          </w:p>
        </w:tc>
      </w:tr>
      <w:tr w:rsidR="00FF5F97" w:rsidRPr="005D6475" w14:paraId="3B96D74F" w14:textId="77777777" w:rsidTr="00CE30AC">
        <w:trPr>
          <w:trHeight w:val="1768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FF5F97" w:rsidRDefault="00FF5F97" w:rsidP="00FF5F97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Zárthelyik, jegyzőkönyvek, beszámolók stb.</w:t>
            </w:r>
          </w:p>
          <w:p w14:paraId="250E95D5" w14:textId="0A02B4B3" w:rsidR="00A91C7F" w:rsidRPr="00476295" w:rsidRDefault="00F5408F" w:rsidP="00476295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5408F">
              <w:rPr>
                <w:rFonts w:ascii="Times New Roman" w:eastAsia="Arial Unicode MS" w:hAnsi="Times New Roman" w:cs="Times New Roman"/>
              </w:rPr>
              <w:t xml:space="preserve">A hallgatóknak a szorgalmi időszakban </w:t>
            </w:r>
            <w:r>
              <w:rPr>
                <w:rFonts w:ascii="Times New Roman" w:eastAsia="Arial Unicode MS" w:hAnsi="Times New Roman" w:cs="Times New Roman"/>
              </w:rPr>
              <w:t>nincs beszámolási kötelezettsége.</w:t>
            </w:r>
            <w:r w:rsidR="005D551D">
              <w:rPr>
                <w:rFonts w:ascii="Times New Roman" w:eastAsia="Arial Unicode MS" w:hAnsi="Times New Roman" w:cs="Times New Roman"/>
              </w:rPr>
              <w:t xml:space="preserve"> A gyakorlaton (4.-5. összevont alkalom) a jelenlét és az aktív közreműködés kötelező</w:t>
            </w:r>
            <w:r w:rsidR="004F7AAF">
              <w:rPr>
                <w:rFonts w:ascii="Times New Roman" w:eastAsia="Arial Unicode MS" w:hAnsi="Times New Roman" w:cs="Times New Roman"/>
              </w:rPr>
              <w:t>, a vizsgázás feltétele</w:t>
            </w:r>
            <w:r w:rsidR="005D551D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FF5F97" w:rsidRPr="005D6475" w14:paraId="56DE8AA4" w14:textId="77777777" w:rsidTr="00CE30AC">
        <w:trPr>
          <w:trHeight w:val="1502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4A795748" w:rsidR="00FF5F97" w:rsidRPr="009E7EDD" w:rsidRDefault="00FF5F97" w:rsidP="4084CE1E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Az aláírás megszerzésének</w:t>
            </w:r>
            <w:r w:rsidR="042B5862" w:rsidRPr="009E7EDD">
              <w:rPr>
                <w:rFonts w:ascii="Times New Roman" w:eastAsia="Arial Unicode MS" w:hAnsi="Times New Roman" w:cs="Times New Roman"/>
                <w:b/>
                <w:bCs/>
              </w:rPr>
              <w:t xml:space="preserve"> követelményei</w:t>
            </w:r>
            <w:r w:rsidR="00D305D9">
              <w:rPr>
                <w:rFonts w:ascii="Times New Roman" w:eastAsia="Arial Unicode MS" w:hAnsi="Times New Roman" w:cs="Times New Roman"/>
                <w:b/>
                <w:bCs/>
              </w:rPr>
              <w:t>, a vizsgajegy kialakítása</w:t>
            </w: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  <w:p w14:paraId="2FF14B32" w14:textId="62BA3C07" w:rsidR="0097086B" w:rsidRPr="005D551D" w:rsidRDefault="00F5408F" w:rsidP="00A91C7F">
            <w:pPr>
              <w:spacing w:after="24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97086B">
              <w:rPr>
                <w:rFonts w:ascii="Times New Roman" w:eastAsia="Times New Roman" w:hAnsi="Times New Roman" w:cs="Times New Roman"/>
              </w:rPr>
              <w:t xml:space="preserve"> vizsga írásbeli kérdésekre adott válaszok </w:t>
            </w:r>
            <w:r>
              <w:rPr>
                <w:rFonts w:ascii="Times New Roman" w:eastAsia="Times New Roman" w:hAnsi="Times New Roman" w:cs="Times New Roman"/>
              </w:rPr>
              <w:t xml:space="preserve">(teszt jellegű és </w:t>
            </w:r>
            <w:r w:rsidR="005D551D">
              <w:rPr>
                <w:rFonts w:ascii="Times New Roman" w:eastAsia="Times New Roman" w:hAnsi="Times New Roman" w:cs="Times New Roman"/>
              </w:rPr>
              <w:t xml:space="preserve">rövid </w:t>
            </w:r>
            <w:r>
              <w:rPr>
                <w:rFonts w:ascii="Times New Roman" w:eastAsia="Times New Roman" w:hAnsi="Times New Roman" w:cs="Times New Roman"/>
              </w:rPr>
              <w:t xml:space="preserve">kifejtéses vegyesen) </w:t>
            </w:r>
            <w:r w:rsidRPr="0097086B">
              <w:rPr>
                <w:rFonts w:ascii="Times New Roman" w:eastAsia="Times New Roman" w:hAnsi="Times New Roman" w:cs="Times New Roman"/>
              </w:rPr>
              <w:t>értékelésével történik a vizsgaidőszakban.</w:t>
            </w:r>
          </w:p>
        </w:tc>
      </w:tr>
      <w:tr w:rsidR="005443D5" w:rsidRPr="00C05A15" w14:paraId="14E84668" w14:textId="77777777" w:rsidTr="00CE30AC">
        <w:trPr>
          <w:trHeight w:val="417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5443D5" w:rsidRPr="00C05A15" w:rsidRDefault="005443D5" w:rsidP="005443D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C05A15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5443D5" w:rsidRPr="00C05A15" w14:paraId="4F899A0C" w14:textId="77777777" w:rsidTr="00CE30AC">
        <w:trPr>
          <w:trHeight w:val="1125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924" w14:textId="78B917B1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Ismeri és alkalmazza a környezetmérnöki szakmához kötött természettudományos és műszaki elméletet és gyakorlatot.</w:t>
            </w:r>
          </w:p>
          <w:p w14:paraId="711CAE6F" w14:textId="58DD0117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Ismeri és alkalmazza a kármentesítési eljárásokat (műveletek, berendezések, készülékek), a környezetvédelmi kárelhárítási módszereket.</w:t>
            </w:r>
          </w:p>
          <w:p w14:paraId="745CBB27" w14:textId="19BDA019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Környezetvédelmi szakterületen felmerülő problémák megoldásában képes alkalmazni a megszerzett általános és specifikus matematikai, természet‐ és társadalomtudományi elveket, szabályokat, összefüggéseket, eljárásokat.</w:t>
            </w:r>
          </w:p>
          <w:p w14:paraId="2484B77D" w14:textId="3AB2DBE1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Munkája során vizsgálja a kutatási, fejlesztési és innovációs célok kitűzésének lehetőségét és törekszik azok megvalósítására.</w:t>
            </w:r>
          </w:p>
          <w:p w14:paraId="51DA6883" w14:textId="37D17FCF" w:rsidR="00631D22" w:rsidRPr="000C3C16" w:rsidRDefault="00631D22" w:rsidP="000C3C16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a földtani közeg-</w:t>
            </w:r>
            <w:r w:rsidR="000C3C16">
              <w:rPr>
                <w:rFonts w:ascii="Times New Roman" w:hAnsi="Times New Roman" w:cs="Times New Roman"/>
              </w:rPr>
              <w:t xml:space="preserve"> és felszín alatti</w:t>
            </w:r>
            <w:r w:rsidRPr="00631D22">
              <w:rPr>
                <w:rFonts w:ascii="Times New Roman" w:hAnsi="Times New Roman" w:cs="Times New Roman"/>
              </w:rPr>
              <w:t xml:space="preserve"> víz</w:t>
            </w:r>
            <w:r w:rsidR="000C3C16">
              <w:rPr>
                <w:rFonts w:ascii="Times New Roman" w:hAnsi="Times New Roman" w:cs="Times New Roman"/>
              </w:rPr>
              <w:t xml:space="preserve">védelem </w:t>
            </w:r>
            <w:r w:rsidRPr="000C3C16">
              <w:rPr>
                <w:rFonts w:ascii="Times New Roman" w:hAnsi="Times New Roman" w:cs="Times New Roman"/>
              </w:rPr>
              <w:t>szakterületeken jelentkező mérnöki beavatkozások összetett tervezésére, megvalósítására és fenntartására.</w:t>
            </w:r>
          </w:p>
          <w:p w14:paraId="42E8575C" w14:textId="6450A0A2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a környezeti minták vételének tervezésére és lebonyolítására, monitoring rendszerek alkalmazására, a vizsgálati eredmények értékelésé-re és dokumentálására.</w:t>
            </w:r>
          </w:p>
          <w:p w14:paraId="666C423B" w14:textId="09453063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környezetvédelmi kárelhárítási módszerek összetett alkalmazására, kárelhárítás előkészítésére és a kárelhárítás koordinációjára.</w:t>
            </w:r>
          </w:p>
          <w:p w14:paraId="0AF465A9" w14:textId="1F01400F" w:rsidR="007A17FE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környezetvédelmi műszaki rendszerek és folyamatok modellezésére, üzemeltetésére és irányítására.</w:t>
            </w:r>
          </w:p>
          <w:p w14:paraId="4D5E322E" w14:textId="6810DDCF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lastRenderedPageBreak/>
              <w:t>Képes komplex (környezeti-gazdasági-társadalmi) munkák megtervezésére és lebonyolításának támogatására.</w:t>
            </w:r>
          </w:p>
          <w:p w14:paraId="31C1D4B1" w14:textId="74079104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 xml:space="preserve">Nyitott és fogékony a </w:t>
            </w:r>
            <w:r w:rsidR="000C3C16">
              <w:rPr>
                <w:rFonts w:ascii="Times New Roman" w:hAnsi="Times New Roman" w:cs="Times New Roman"/>
              </w:rPr>
              <w:t>kármentesítési</w:t>
            </w:r>
            <w:r w:rsidRPr="00631D22">
              <w:rPr>
                <w:rFonts w:ascii="Times New Roman" w:hAnsi="Times New Roman" w:cs="Times New Roman"/>
              </w:rPr>
              <w:t xml:space="preserve"> szakterületen zajló szakmai, technológiai fejlesztés és innováció megismerésére és elfogadására, hiteles közvetítésére.</w:t>
            </w:r>
          </w:p>
          <w:p w14:paraId="761989A2" w14:textId="286401F7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 xml:space="preserve">Felvállalja a </w:t>
            </w:r>
            <w:r w:rsidR="000C3C16">
              <w:rPr>
                <w:rFonts w:ascii="Times New Roman" w:hAnsi="Times New Roman" w:cs="Times New Roman"/>
              </w:rPr>
              <w:t>kármentesítési</w:t>
            </w:r>
            <w:r w:rsidRPr="00631D22">
              <w:rPr>
                <w:rFonts w:ascii="Times New Roman" w:hAnsi="Times New Roman" w:cs="Times New Roman"/>
              </w:rPr>
              <w:t xml:space="preserve"> szakterülethez kapcsolódó szakmai és erkölcsi értékrendet.</w:t>
            </w:r>
          </w:p>
          <w:p w14:paraId="4CC2150B" w14:textId="5745C4C0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Törekszik arra, hogy a munkáját rendszerszemléletű és folyamatorientált gondolkodásmód alapján, összetett megközelítésben végezze.</w:t>
            </w:r>
          </w:p>
          <w:p w14:paraId="4CAE3750" w14:textId="254AB6C8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Önállóan képes környezetmérnöki feladatok megoldására, döntéseit körültekintően, más (elsősorban jogi, közgazdasági, energetikai) szakterületek képviselőivel tanácskozva, önállóan hozza, melyért felelősséget vállal.</w:t>
            </w:r>
          </w:p>
          <w:p w14:paraId="528CDC9E" w14:textId="1F895CAA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Kezdeményező szerepet vállal a környezetvédelmi problémák megoldásában, feltárja az alkalmazott technológiák hiányosságait, a folyamatok kockázatait és kezdeményezi az ezeket csökkentő intézkedések megtételét.</w:t>
            </w:r>
          </w:p>
          <w:p w14:paraId="0AB7FDA0" w14:textId="11F95551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Figyelemmel kíséri a szakterülettel kapcsolatos jogszabályi, technikai, technológiai és adminisztrációs változásokat.</w:t>
            </w:r>
          </w:p>
        </w:tc>
      </w:tr>
      <w:tr w:rsidR="005443D5" w:rsidRPr="00C05A15" w14:paraId="0C9884C3" w14:textId="77777777" w:rsidTr="00CE30AC"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0B4BEED9" w:rsidR="005443D5" w:rsidRPr="00C05A15" w:rsidRDefault="005443D5" w:rsidP="00A9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C05A15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lastRenderedPageBreak/>
              <w:t>Irodalom</w:t>
            </w:r>
          </w:p>
        </w:tc>
      </w:tr>
      <w:tr w:rsidR="005443D5" w:rsidRPr="002516D3" w14:paraId="3545F8E2" w14:textId="77777777" w:rsidTr="00CE30AC">
        <w:trPr>
          <w:trHeight w:val="848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2AE6" w14:textId="6CE26E27" w:rsidR="00F5408F" w:rsidRDefault="00F5408F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08F">
              <w:rPr>
                <w:rFonts w:ascii="Times New Roman" w:hAnsi="Times New Roman" w:cs="Times New Roman"/>
              </w:rPr>
              <w:t>Hatályos jogszabályok</w:t>
            </w:r>
            <w:r w:rsidR="00C76FF4">
              <w:rPr>
                <w:rFonts w:ascii="Times New Roman" w:hAnsi="Times New Roman" w:cs="Times New Roman"/>
              </w:rPr>
              <w:t xml:space="preserve"> gyűjteménye</w:t>
            </w:r>
            <w:r w:rsidRPr="00F5408F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C76FF4" w:rsidRPr="004B2165">
                <w:rPr>
                  <w:rStyle w:val="Hiperhivatkozs"/>
                  <w:rFonts w:ascii="Times New Roman" w:hAnsi="Times New Roman" w:cs="Times New Roman"/>
                </w:rPr>
                <w:t>https://njt.hu/</w:t>
              </w:r>
            </w:hyperlink>
          </w:p>
          <w:p w14:paraId="79A9550D" w14:textId="296F7A91" w:rsidR="00C76FF4" w:rsidRDefault="00C76FF4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Szabványok gyűjteménye: </w:t>
            </w:r>
            <w:hyperlink r:id="rId9" w:history="1">
              <w:r w:rsidRPr="004B2165">
                <w:rPr>
                  <w:rStyle w:val="Hiperhivatkozs"/>
                  <w:rFonts w:ascii="Times New Roman" w:hAnsi="Times New Roman" w:cs="Times New Roman"/>
                </w:rPr>
                <w:t>https://www.mszt.hu/hu-hu/</w:t>
              </w:r>
            </w:hyperlink>
          </w:p>
          <w:p w14:paraId="3EED654D" w14:textId="11274E61" w:rsidR="00C76FF4" w:rsidRDefault="00C76FF4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Nemzeti Akkreditá</w:t>
            </w:r>
            <w:r w:rsidR="00782F14">
              <w:rPr>
                <w:rFonts w:ascii="Times New Roman" w:hAnsi="Times New Roman" w:cs="Times New Roman"/>
              </w:rPr>
              <w:t>ló</w:t>
            </w:r>
            <w:r>
              <w:rPr>
                <w:rFonts w:ascii="Times New Roman" w:hAnsi="Times New Roman" w:cs="Times New Roman"/>
              </w:rPr>
              <w:t xml:space="preserve"> Hatóság: </w:t>
            </w:r>
            <w:hyperlink r:id="rId10" w:history="1">
              <w:r w:rsidR="00782F14" w:rsidRPr="004B2165">
                <w:rPr>
                  <w:rStyle w:val="Hiperhivatkozs"/>
                  <w:rFonts w:ascii="Times New Roman" w:hAnsi="Times New Roman" w:cs="Times New Roman"/>
                </w:rPr>
                <w:t>https://www.nah.gov.hu/hu/</w:t>
              </w:r>
            </w:hyperlink>
          </w:p>
          <w:p w14:paraId="6A6B9BFB" w14:textId="3CB2CFCC" w:rsidR="005A3BD5" w:rsidRDefault="005A3BD5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Juhász Árpád: Évmilliók emlékei (Gondolat Kiadó, 1983)</w:t>
            </w:r>
          </w:p>
          <w:p w14:paraId="08304088" w14:textId="77E344FA" w:rsidR="005A3BD5" w:rsidRDefault="005A3BD5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Báldi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Tamás: A történeti földtan alapjai (Nemzeti Tankönyvkiadó, 2003)</w:t>
            </w:r>
          </w:p>
          <w:p w14:paraId="1DC5F88E" w14:textId="7467F935" w:rsidR="005A3BD5" w:rsidRDefault="005A3BD5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Kézdy</w:t>
            </w:r>
            <w:proofErr w:type="spellEnd"/>
            <w:r>
              <w:rPr>
                <w:rFonts w:ascii="Times New Roman" w:hAnsi="Times New Roman" w:cs="Times New Roman"/>
              </w:rPr>
              <w:t xml:space="preserve"> Árpád: </w:t>
            </w:r>
            <w:proofErr w:type="spellStart"/>
            <w:r>
              <w:rPr>
                <w:rFonts w:ascii="Times New Roman" w:hAnsi="Times New Roman" w:cs="Times New Roman"/>
              </w:rPr>
              <w:t>Geotechnika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(Tankönyvkiadó, 1978)</w:t>
            </w:r>
          </w:p>
          <w:p w14:paraId="143E54B5" w14:textId="1230B386" w:rsidR="00C76FF4" w:rsidRDefault="00C76FF4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Mosonyi Emil – Papp Ferenc: Műszaki földtan (Műszaki Könyvkiadó, 1959)</w:t>
            </w:r>
          </w:p>
          <w:p w14:paraId="208CFAFC" w14:textId="79F42ED4" w:rsidR="00C76FF4" w:rsidRPr="00F5408F" w:rsidRDefault="00C76FF4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FF4">
              <w:rPr>
                <w:rFonts w:ascii="Times New Roman" w:hAnsi="Times New Roman" w:cs="Times New Roman"/>
              </w:rPr>
              <w:t>Drahos Dezső</w:t>
            </w:r>
            <w:r>
              <w:rPr>
                <w:rFonts w:ascii="Times New Roman" w:hAnsi="Times New Roman" w:cs="Times New Roman"/>
              </w:rPr>
              <w:t>,</w:t>
            </w:r>
            <w:r w:rsidRPr="00C76FF4">
              <w:rPr>
                <w:rFonts w:ascii="Times New Roman" w:hAnsi="Times New Roman" w:cs="Times New Roman"/>
              </w:rPr>
              <w:t xml:space="preserve"> Kis Károly</w:t>
            </w:r>
            <w:r>
              <w:rPr>
                <w:rFonts w:ascii="Times New Roman" w:hAnsi="Times New Roman" w:cs="Times New Roman"/>
              </w:rPr>
              <w:t>,</w:t>
            </w:r>
            <w:r w:rsidRPr="00C76FF4">
              <w:rPr>
                <w:rFonts w:ascii="Times New Roman" w:hAnsi="Times New Roman" w:cs="Times New Roman"/>
              </w:rPr>
              <w:t xml:space="preserve"> Meskó Attila</w:t>
            </w:r>
            <w:r>
              <w:rPr>
                <w:rFonts w:ascii="Times New Roman" w:hAnsi="Times New Roman" w:cs="Times New Roman"/>
              </w:rPr>
              <w:t>,</w:t>
            </w:r>
            <w:r w:rsidRPr="00C76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FF4">
              <w:rPr>
                <w:rFonts w:ascii="Times New Roman" w:hAnsi="Times New Roman" w:cs="Times New Roman"/>
              </w:rPr>
              <w:t>Salát</w:t>
            </w:r>
            <w:proofErr w:type="spellEnd"/>
            <w:r w:rsidRPr="00C76FF4">
              <w:rPr>
                <w:rFonts w:ascii="Times New Roman" w:hAnsi="Times New Roman" w:cs="Times New Roman"/>
              </w:rPr>
              <w:t xml:space="preserve"> Péter</w:t>
            </w:r>
            <w:r>
              <w:rPr>
                <w:rFonts w:ascii="Times New Roman" w:hAnsi="Times New Roman" w:cs="Times New Roman"/>
              </w:rPr>
              <w:t>: Bevezetés a gyakorlati geofizikába (Tankönyvkiadó, 1977)</w:t>
            </w:r>
          </w:p>
          <w:p w14:paraId="4C8C91B2" w14:textId="75B867A0" w:rsidR="00CF142F" w:rsidRPr="000C3C16" w:rsidRDefault="00CF142F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Kovács Balázs: Hidrodinamikai és transzportmodellezés I. – II.</w:t>
            </w:r>
          </w:p>
          <w:p w14:paraId="6007D2CB" w14:textId="64656820" w:rsidR="00CF142F" w:rsidRPr="000C3C16" w:rsidRDefault="00C4721E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D</w:t>
            </w:r>
            <w:r w:rsidR="00CF142F" w:rsidRPr="000C3C16">
              <w:rPr>
                <w:rFonts w:ascii="Times New Roman" w:hAnsi="Times New Roman" w:cs="Times New Roman"/>
              </w:rPr>
              <w:t>r. Gondi Ferenc</w:t>
            </w:r>
            <w:r w:rsidRPr="000C3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3C16" w:rsidRPr="000C3C16">
              <w:rPr>
                <w:rFonts w:ascii="Times New Roman" w:hAnsi="Times New Roman" w:cs="Times New Roman"/>
              </w:rPr>
              <w:t>Halmóczki</w:t>
            </w:r>
            <w:proofErr w:type="spellEnd"/>
            <w:r w:rsidR="000C3C16" w:rsidRPr="000C3C16">
              <w:rPr>
                <w:rFonts w:ascii="Times New Roman" w:hAnsi="Times New Roman" w:cs="Times New Roman"/>
              </w:rPr>
              <w:t xml:space="preserve"> Szabolcs, </w:t>
            </w:r>
            <w:proofErr w:type="spellStart"/>
            <w:r w:rsidR="000C3C16" w:rsidRPr="000C3C16">
              <w:rPr>
                <w:rFonts w:ascii="Times New Roman" w:hAnsi="Times New Roman" w:cs="Times New Roman"/>
              </w:rPr>
              <w:t>Liebe</w:t>
            </w:r>
            <w:proofErr w:type="spellEnd"/>
            <w:r w:rsidR="000C3C16" w:rsidRPr="000C3C16">
              <w:rPr>
                <w:rFonts w:ascii="Times New Roman" w:hAnsi="Times New Roman" w:cs="Times New Roman"/>
              </w:rPr>
              <w:t xml:space="preserve"> Pál, Szabó Imre, Szarka András: Kármentesítési útmutató 6., Tényfeltárás és monitoring</w:t>
            </w:r>
            <w:r w:rsidR="00185506">
              <w:rPr>
                <w:rFonts w:ascii="Times New Roman" w:hAnsi="Times New Roman" w:cs="Times New Roman"/>
              </w:rPr>
              <w:t xml:space="preserve"> </w:t>
            </w:r>
            <w:r w:rsidR="00185506" w:rsidRPr="00185506">
              <w:rPr>
                <w:rFonts w:ascii="Times New Roman" w:hAnsi="Times New Roman" w:cs="Times New Roman"/>
              </w:rPr>
              <w:t xml:space="preserve">(Környezetvédelmi </w:t>
            </w:r>
            <w:r w:rsidR="00185506">
              <w:rPr>
                <w:rFonts w:ascii="Times New Roman" w:hAnsi="Times New Roman" w:cs="Times New Roman"/>
              </w:rPr>
              <w:t xml:space="preserve">és Vízügyi </w:t>
            </w:r>
            <w:r w:rsidR="00185506" w:rsidRPr="00185506">
              <w:rPr>
                <w:rFonts w:ascii="Times New Roman" w:hAnsi="Times New Roman" w:cs="Times New Roman"/>
              </w:rPr>
              <w:t>Minisztérium, 200</w:t>
            </w:r>
            <w:r w:rsidR="00185506">
              <w:rPr>
                <w:rFonts w:ascii="Times New Roman" w:hAnsi="Times New Roman" w:cs="Times New Roman"/>
              </w:rPr>
              <w:t>3</w:t>
            </w:r>
            <w:r w:rsidR="00185506" w:rsidRPr="00185506">
              <w:rPr>
                <w:rFonts w:ascii="Times New Roman" w:hAnsi="Times New Roman" w:cs="Times New Roman"/>
              </w:rPr>
              <w:t>)</w:t>
            </w:r>
          </w:p>
          <w:p w14:paraId="5378ABE5" w14:textId="58BED26D" w:rsidR="00CF142F" w:rsidRPr="000C3C16" w:rsidRDefault="00C4721E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D</w:t>
            </w:r>
            <w:r w:rsidR="00CF142F" w:rsidRPr="000C3C16">
              <w:rPr>
                <w:rFonts w:ascii="Times New Roman" w:hAnsi="Times New Roman" w:cs="Times New Roman"/>
              </w:rPr>
              <w:t xml:space="preserve">r. Gondi Ferenc, </w:t>
            </w:r>
            <w:proofErr w:type="spellStart"/>
            <w:r w:rsidR="00CF142F" w:rsidRPr="000C3C16">
              <w:rPr>
                <w:rFonts w:ascii="Times New Roman" w:hAnsi="Times New Roman" w:cs="Times New Roman"/>
              </w:rPr>
              <w:t>Halmóczki</w:t>
            </w:r>
            <w:proofErr w:type="spellEnd"/>
            <w:r w:rsidR="00CF142F" w:rsidRPr="000C3C16">
              <w:rPr>
                <w:rFonts w:ascii="Times New Roman" w:hAnsi="Times New Roman" w:cs="Times New Roman"/>
              </w:rPr>
              <w:t xml:space="preserve"> Szabolcs, Dankó Gyula</w:t>
            </w:r>
            <w:r w:rsidRPr="000C3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C16">
              <w:rPr>
                <w:rFonts w:ascii="Times New Roman" w:hAnsi="Times New Roman" w:cs="Times New Roman"/>
              </w:rPr>
              <w:t>Dr.Dura</w:t>
            </w:r>
            <w:proofErr w:type="spellEnd"/>
            <w:r w:rsidRPr="000C3C16">
              <w:rPr>
                <w:rFonts w:ascii="Times New Roman" w:hAnsi="Times New Roman" w:cs="Times New Roman"/>
              </w:rPr>
              <w:t xml:space="preserve"> Gyula, Ligeti Zsolt, Dr. Szabó Imre: Kármentesítési útmutató 7., A mennyiségi kockázatfelmérés módszertana</w:t>
            </w:r>
            <w:r w:rsidR="00185506">
              <w:rPr>
                <w:rFonts w:ascii="Times New Roman" w:hAnsi="Times New Roman" w:cs="Times New Roman"/>
              </w:rPr>
              <w:t xml:space="preserve"> </w:t>
            </w:r>
            <w:r w:rsidR="00185506" w:rsidRPr="00185506">
              <w:rPr>
                <w:rFonts w:ascii="Times New Roman" w:hAnsi="Times New Roman" w:cs="Times New Roman"/>
              </w:rPr>
              <w:t xml:space="preserve">(Környezetvédelmi </w:t>
            </w:r>
            <w:r w:rsidR="00185506">
              <w:rPr>
                <w:rFonts w:ascii="Times New Roman" w:hAnsi="Times New Roman" w:cs="Times New Roman"/>
              </w:rPr>
              <w:t xml:space="preserve">és Vízügyi </w:t>
            </w:r>
            <w:r w:rsidR="00185506" w:rsidRPr="00185506">
              <w:rPr>
                <w:rFonts w:ascii="Times New Roman" w:hAnsi="Times New Roman" w:cs="Times New Roman"/>
              </w:rPr>
              <w:t>Minisztérium, 200</w:t>
            </w:r>
            <w:r w:rsidR="00185506">
              <w:rPr>
                <w:rFonts w:ascii="Times New Roman" w:hAnsi="Times New Roman" w:cs="Times New Roman"/>
              </w:rPr>
              <w:t>4</w:t>
            </w:r>
            <w:r w:rsidR="00185506" w:rsidRPr="00185506">
              <w:rPr>
                <w:rFonts w:ascii="Times New Roman" w:hAnsi="Times New Roman" w:cs="Times New Roman"/>
              </w:rPr>
              <w:t>)</w:t>
            </w:r>
          </w:p>
          <w:p w14:paraId="7BE6CA81" w14:textId="0988874D" w:rsidR="00631D22" w:rsidRDefault="00631D22" w:rsidP="0018550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Dr. Dura Gyula</w:t>
            </w:r>
            <w:r w:rsidR="000C3C16" w:rsidRPr="000C3C16">
              <w:rPr>
                <w:rFonts w:ascii="Times New Roman" w:hAnsi="Times New Roman" w:cs="Times New Roman"/>
              </w:rPr>
              <w:t xml:space="preserve">, Dr. </w:t>
            </w:r>
            <w:proofErr w:type="spellStart"/>
            <w:r w:rsidR="000C3C16" w:rsidRPr="000C3C16">
              <w:rPr>
                <w:rFonts w:ascii="Times New Roman" w:hAnsi="Times New Roman" w:cs="Times New Roman"/>
              </w:rPr>
              <w:t>Gruiz</w:t>
            </w:r>
            <w:proofErr w:type="spellEnd"/>
            <w:r w:rsidR="000C3C16" w:rsidRPr="000C3C16">
              <w:rPr>
                <w:rFonts w:ascii="Times New Roman" w:hAnsi="Times New Roman" w:cs="Times New Roman"/>
              </w:rPr>
              <w:t xml:space="preserve"> Katalin, Dr. László Erzsébet, Dr. Vadász Zsolt</w:t>
            </w:r>
            <w:r w:rsidRPr="000C3C16">
              <w:rPr>
                <w:rFonts w:ascii="Times New Roman" w:hAnsi="Times New Roman" w:cs="Times New Roman"/>
              </w:rPr>
              <w:t xml:space="preserve">: Kármentesítési </w:t>
            </w:r>
            <w:r w:rsidR="000C3C16" w:rsidRPr="000C3C16">
              <w:rPr>
                <w:rFonts w:ascii="Times New Roman" w:hAnsi="Times New Roman" w:cs="Times New Roman"/>
              </w:rPr>
              <w:t>k</w:t>
            </w:r>
            <w:r w:rsidRPr="000C3C16">
              <w:rPr>
                <w:rFonts w:ascii="Times New Roman" w:hAnsi="Times New Roman" w:cs="Times New Roman"/>
              </w:rPr>
              <w:t>ézikönyv 3.</w:t>
            </w:r>
            <w:r w:rsidR="000C3C16" w:rsidRPr="000C3C16">
              <w:rPr>
                <w:rFonts w:ascii="Times New Roman" w:hAnsi="Times New Roman" w:cs="Times New Roman"/>
              </w:rPr>
              <w:t xml:space="preserve">, Szennyezett területek részletes mennyiségi </w:t>
            </w:r>
            <w:r w:rsidR="000C3C16" w:rsidRPr="00185506">
              <w:rPr>
                <w:rFonts w:ascii="Times New Roman" w:hAnsi="Times New Roman" w:cs="Times New Roman"/>
              </w:rPr>
              <w:t>felmérése</w:t>
            </w:r>
            <w:r w:rsidR="00185506" w:rsidRPr="00185506">
              <w:rPr>
                <w:rFonts w:ascii="Times New Roman" w:hAnsi="Times New Roman" w:cs="Times New Roman"/>
              </w:rPr>
              <w:t xml:space="preserve"> (Környezetvédelmi Minisztérium</w:t>
            </w:r>
            <w:r w:rsidR="00185506">
              <w:rPr>
                <w:rFonts w:ascii="Times New Roman" w:hAnsi="Times New Roman" w:cs="Times New Roman"/>
              </w:rPr>
              <w:t>, 2001)</w:t>
            </w:r>
          </w:p>
          <w:p w14:paraId="5024F7DF" w14:textId="577D6F6F" w:rsidR="00A064CC" w:rsidRPr="00185506" w:rsidRDefault="00185506" w:rsidP="0018550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506">
              <w:rPr>
                <w:rFonts w:ascii="Times New Roman" w:hAnsi="Times New Roman" w:cs="Times New Roman"/>
              </w:rPr>
              <w:t>Puzder</w:t>
            </w:r>
            <w:proofErr w:type="spellEnd"/>
            <w:r w:rsidRPr="00185506">
              <w:rPr>
                <w:rFonts w:ascii="Times New Roman" w:hAnsi="Times New Roman" w:cs="Times New Roman"/>
              </w:rPr>
              <w:t xml:space="preserve"> Tamás, Dr. Csáki Ferenc, Dr. </w:t>
            </w:r>
            <w:proofErr w:type="spellStart"/>
            <w:r w:rsidRPr="00185506">
              <w:rPr>
                <w:rFonts w:ascii="Times New Roman" w:hAnsi="Times New Roman" w:cs="Times New Roman"/>
              </w:rPr>
              <w:t>Gruiz</w:t>
            </w:r>
            <w:proofErr w:type="spellEnd"/>
            <w:r w:rsidRPr="00185506">
              <w:rPr>
                <w:rFonts w:ascii="Times New Roman" w:hAnsi="Times New Roman" w:cs="Times New Roman"/>
              </w:rPr>
              <w:t xml:space="preserve"> Katalin, Dr. Horváth Zsolt, Márton Tibor, Sajgó Zsolt: Kármentesítési Kézikönyv 4., Kármentesítési technológiák (Környezetvédelmi Minisztérium, 2001)</w:t>
            </w:r>
          </w:p>
        </w:tc>
      </w:tr>
    </w:tbl>
    <w:p w14:paraId="50CA6112" w14:textId="77777777" w:rsidR="009C4513" w:rsidRPr="002516D3" w:rsidRDefault="009C4513">
      <w:pPr>
        <w:rPr>
          <w:rFonts w:ascii="Times New Roman" w:hAnsi="Times New Roman" w:cs="Times New Roman"/>
        </w:rPr>
      </w:pPr>
    </w:p>
    <w:sectPr w:rsidR="009C4513" w:rsidRPr="00251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789"/>
    <w:multiLevelType w:val="hybridMultilevel"/>
    <w:tmpl w:val="24EE28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118D"/>
    <w:multiLevelType w:val="hybridMultilevel"/>
    <w:tmpl w:val="21DAF3D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E95"/>
    <w:multiLevelType w:val="hybridMultilevel"/>
    <w:tmpl w:val="646E3B6E"/>
    <w:lvl w:ilvl="0" w:tplc="402888E8">
      <w:start w:val="1"/>
      <w:numFmt w:val="decimal"/>
      <w:lvlText w:val="%1."/>
      <w:lvlJc w:val="left"/>
      <w:pPr>
        <w:ind w:left="720" w:hanging="360"/>
      </w:pPr>
    </w:lvl>
    <w:lvl w:ilvl="1" w:tplc="D1427CE4">
      <w:start w:val="1"/>
      <w:numFmt w:val="lowerLetter"/>
      <w:lvlText w:val="%2."/>
      <w:lvlJc w:val="left"/>
      <w:pPr>
        <w:ind w:left="1440" w:hanging="360"/>
      </w:pPr>
    </w:lvl>
    <w:lvl w:ilvl="2" w:tplc="C426A36A">
      <w:start w:val="1"/>
      <w:numFmt w:val="lowerRoman"/>
      <w:lvlText w:val="%3."/>
      <w:lvlJc w:val="right"/>
      <w:pPr>
        <w:ind w:left="2160" w:hanging="180"/>
      </w:pPr>
    </w:lvl>
    <w:lvl w:ilvl="3" w:tplc="8D322404">
      <w:start w:val="1"/>
      <w:numFmt w:val="decimal"/>
      <w:lvlText w:val="%4."/>
      <w:lvlJc w:val="left"/>
      <w:pPr>
        <w:ind w:left="2880" w:hanging="360"/>
      </w:pPr>
    </w:lvl>
    <w:lvl w:ilvl="4" w:tplc="FF2CFE56">
      <w:start w:val="1"/>
      <w:numFmt w:val="lowerLetter"/>
      <w:lvlText w:val="%5."/>
      <w:lvlJc w:val="left"/>
      <w:pPr>
        <w:ind w:left="3600" w:hanging="360"/>
      </w:pPr>
    </w:lvl>
    <w:lvl w:ilvl="5" w:tplc="E8CCA200">
      <w:start w:val="1"/>
      <w:numFmt w:val="lowerRoman"/>
      <w:lvlText w:val="%6."/>
      <w:lvlJc w:val="right"/>
      <w:pPr>
        <w:ind w:left="4320" w:hanging="180"/>
      </w:pPr>
    </w:lvl>
    <w:lvl w:ilvl="6" w:tplc="43A69FA6">
      <w:start w:val="1"/>
      <w:numFmt w:val="decimal"/>
      <w:lvlText w:val="%7."/>
      <w:lvlJc w:val="left"/>
      <w:pPr>
        <w:ind w:left="5040" w:hanging="360"/>
      </w:pPr>
    </w:lvl>
    <w:lvl w:ilvl="7" w:tplc="1BCE0030">
      <w:start w:val="1"/>
      <w:numFmt w:val="lowerLetter"/>
      <w:lvlText w:val="%8."/>
      <w:lvlJc w:val="left"/>
      <w:pPr>
        <w:ind w:left="5760" w:hanging="360"/>
      </w:pPr>
    </w:lvl>
    <w:lvl w:ilvl="8" w:tplc="B3B848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3671"/>
    <w:multiLevelType w:val="hybridMultilevel"/>
    <w:tmpl w:val="AC466632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ACB"/>
    <w:multiLevelType w:val="hybridMultilevel"/>
    <w:tmpl w:val="91423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C1B"/>
    <w:multiLevelType w:val="hybridMultilevel"/>
    <w:tmpl w:val="F000BB70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3D1"/>
    <w:multiLevelType w:val="hybridMultilevel"/>
    <w:tmpl w:val="ADE22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CDC"/>
    <w:multiLevelType w:val="hybridMultilevel"/>
    <w:tmpl w:val="2A9ADA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F59"/>
    <w:multiLevelType w:val="hybridMultilevel"/>
    <w:tmpl w:val="A5064142"/>
    <w:lvl w:ilvl="0" w:tplc="C3FAD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37ECE"/>
    <w:multiLevelType w:val="hybridMultilevel"/>
    <w:tmpl w:val="02943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4C5"/>
    <w:multiLevelType w:val="hybridMultilevel"/>
    <w:tmpl w:val="2B5230A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562E"/>
    <w:multiLevelType w:val="hybridMultilevel"/>
    <w:tmpl w:val="E1647EE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8F8"/>
    <w:multiLevelType w:val="hybridMultilevel"/>
    <w:tmpl w:val="740E9D7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0E1D"/>
    <w:multiLevelType w:val="hybridMultilevel"/>
    <w:tmpl w:val="DE865C7E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8C1"/>
    <w:multiLevelType w:val="hybridMultilevel"/>
    <w:tmpl w:val="77D49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0445"/>
    <w:multiLevelType w:val="hybridMultilevel"/>
    <w:tmpl w:val="2A9AD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11064">
    <w:abstractNumId w:val="2"/>
  </w:num>
  <w:num w:numId="2" w16cid:durableId="544874121">
    <w:abstractNumId w:val="7"/>
  </w:num>
  <w:num w:numId="3" w16cid:durableId="1701513701">
    <w:abstractNumId w:val="10"/>
  </w:num>
  <w:num w:numId="4" w16cid:durableId="1755124448">
    <w:abstractNumId w:val="11"/>
  </w:num>
  <w:num w:numId="5" w16cid:durableId="1884635640">
    <w:abstractNumId w:val="0"/>
  </w:num>
  <w:num w:numId="6" w16cid:durableId="595140408">
    <w:abstractNumId w:val="8"/>
  </w:num>
  <w:num w:numId="7" w16cid:durableId="1593005195">
    <w:abstractNumId w:val="1"/>
  </w:num>
  <w:num w:numId="8" w16cid:durableId="1079867756">
    <w:abstractNumId w:val="12"/>
  </w:num>
  <w:num w:numId="9" w16cid:durableId="208229593">
    <w:abstractNumId w:val="15"/>
  </w:num>
  <w:num w:numId="10" w16cid:durableId="1292593860">
    <w:abstractNumId w:val="4"/>
  </w:num>
  <w:num w:numId="11" w16cid:durableId="240602920">
    <w:abstractNumId w:val="13"/>
  </w:num>
  <w:num w:numId="12" w16cid:durableId="339163745">
    <w:abstractNumId w:val="6"/>
  </w:num>
  <w:num w:numId="13" w16cid:durableId="512576630">
    <w:abstractNumId w:val="3"/>
  </w:num>
  <w:num w:numId="14" w16cid:durableId="862867882">
    <w:abstractNumId w:val="14"/>
  </w:num>
  <w:num w:numId="15" w16cid:durableId="954867207">
    <w:abstractNumId w:val="5"/>
  </w:num>
  <w:num w:numId="16" w16cid:durableId="758915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5"/>
    <w:rsid w:val="000031BE"/>
    <w:rsid w:val="000323F4"/>
    <w:rsid w:val="00045AFF"/>
    <w:rsid w:val="00087DDC"/>
    <w:rsid w:val="000C3C16"/>
    <w:rsid w:val="000E567F"/>
    <w:rsid w:val="00107403"/>
    <w:rsid w:val="00160C96"/>
    <w:rsid w:val="00185506"/>
    <w:rsid w:val="001A0BA9"/>
    <w:rsid w:val="00203A90"/>
    <w:rsid w:val="002231AA"/>
    <w:rsid w:val="00235EB1"/>
    <w:rsid w:val="002516D3"/>
    <w:rsid w:val="0025241A"/>
    <w:rsid w:val="00263E64"/>
    <w:rsid w:val="002A7353"/>
    <w:rsid w:val="00302541"/>
    <w:rsid w:val="00307753"/>
    <w:rsid w:val="00317634"/>
    <w:rsid w:val="00365AF6"/>
    <w:rsid w:val="003A3CC9"/>
    <w:rsid w:val="003A60C7"/>
    <w:rsid w:val="003C27A9"/>
    <w:rsid w:val="003D7D7C"/>
    <w:rsid w:val="00423673"/>
    <w:rsid w:val="00461613"/>
    <w:rsid w:val="00476295"/>
    <w:rsid w:val="004F1129"/>
    <w:rsid w:val="004F7AAF"/>
    <w:rsid w:val="00507824"/>
    <w:rsid w:val="005443D5"/>
    <w:rsid w:val="005A3BD5"/>
    <w:rsid w:val="005B4B1C"/>
    <w:rsid w:val="005C4ED7"/>
    <w:rsid w:val="005D551D"/>
    <w:rsid w:val="005D6475"/>
    <w:rsid w:val="00631D22"/>
    <w:rsid w:val="0067021D"/>
    <w:rsid w:val="00696640"/>
    <w:rsid w:val="006B46E2"/>
    <w:rsid w:val="00746C35"/>
    <w:rsid w:val="007744CE"/>
    <w:rsid w:val="00782F14"/>
    <w:rsid w:val="007839B7"/>
    <w:rsid w:val="007A17FE"/>
    <w:rsid w:val="007C0F2E"/>
    <w:rsid w:val="007C763F"/>
    <w:rsid w:val="007F07A9"/>
    <w:rsid w:val="00830DE6"/>
    <w:rsid w:val="008A6D91"/>
    <w:rsid w:val="008B5977"/>
    <w:rsid w:val="008E2523"/>
    <w:rsid w:val="00915E6B"/>
    <w:rsid w:val="0097086B"/>
    <w:rsid w:val="00974CB0"/>
    <w:rsid w:val="009836D9"/>
    <w:rsid w:val="009C4513"/>
    <w:rsid w:val="009E6031"/>
    <w:rsid w:val="009E7EDD"/>
    <w:rsid w:val="00A064CC"/>
    <w:rsid w:val="00A91C7F"/>
    <w:rsid w:val="00AE6478"/>
    <w:rsid w:val="00AE7E9B"/>
    <w:rsid w:val="00BA1C76"/>
    <w:rsid w:val="00C05A15"/>
    <w:rsid w:val="00C11AC6"/>
    <w:rsid w:val="00C4721E"/>
    <w:rsid w:val="00C52D5A"/>
    <w:rsid w:val="00C76FF4"/>
    <w:rsid w:val="00CB3199"/>
    <w:rsid w:val="00CE30AC"/>
    <w:rsid w:val="00CF142F"/>
    <w:rsid w:val="00D0259C"/>
    <w:rsid w:val="00D24BB2"/>
    <w:rsid w:val="00D305D9"/>
    <w:rsid w:val="00D37A74"/>
    <w:rsid w:val="00D5198B"/>
    <w:rsid w:val="00D62619"/>
    <w:rsid w:val="00D94404"/>
    <w:rsid w:val="00DA1E03"/>
    <w:rsid w:val="00DC5426"/>
    <w:rsid w:val="00DD5EB8"/>
    <w:rsid w:val="00E25B11"/>
    <w:rsid w:val="00E83F02"/>
    <w:rsid w:val="00E906B2"/>
    <w:rsid w:val="00EA03AB"/>
    <w:rsid w:val="00EC38D9"/>
    <w:rsid w:val="00ED6C3A"/>
    <w:rsid w:val="00F36DDA"/>
    <w:rsid w:val="00F44EAE"/>
    <w:rsid w:val="00F5408F"/>
    <w:rsid w:val="00FA0A11"/>
    <w:rsid w:val="00FA5090"/>
    <w:rsid w:val="00FE2182"/>
    <w:rsid w:val="00FF5F97"/>
    <w:rsid w:val="00FF6F30"/>
    <w:rsid w:val="00FF6F89"/>
    <w:rsid w:val="01385041"/>
    <w:rsid w:val="015C30BA"/>
    <w:rsid w:val="015F99CA"/>
    <w:rsid w:val="01DFE86D"/>
    <w:rsid w:val="020F94BE"/>
    <w:rsid w:val="0255E175"/>
    <w:rsid w:val="02925292"/>
    <w:rsid w:val="03BA3D76"/>
    <w:rsid w:val="03EE85DE"/>
    <w:rsid w:val="042B5862"/>
    <w:rsid w:val="0471F8FD"/>
    <w:rsid w:val="0648CA3A"/>
    <w:rsid w:val="06DA8543"/>
    <w:rsid w:val="07A999BF"/>
    <w:rsid w:val="07CB723E"/>
    <w:rsid w:val="08467ED1"/>
    <w:rsid w:val="093B5C65"/>
    <w:rsid w:val="0AFCB46E"/>
    <w:rsid w:val="0B031300"/>
    <w:rsid w:val="0B0BC04E"/>
    <w:rsid w:val="0BCD0FEE"/>
    <w:rsid w:val="0C46F07D"/>
    <w:rsid w:val="0C9EE361"/>
    <w:rsid w:val="0CA6D0E7"/>
    <w:rsid w:val="0E2A38B3"/>
    <w:rsid w:val="0EDA2B2C"/>
    <w:rsid w:val="0FC60914"/>
    <w:rsid w:val="0FD68423"/>
    <w:rsid w:val="11507C05"/>
    <w:rsid w:val="11A3985F"/>
    <w:rsid w:val="124C218F"/>
    <w:rsid w:val="14881CC7"/>
    <w:rsid w:val="14B1E2CC"/>
    <w:rsid w:val="1619E4C6"/>
    <w:rsid w:val="1723C94D"/>
    <w:rsid w:val="182C538E"/>
    <w:rsid w:val="1908E9E5"/>
    <w:rsid w:val="19BF1087"/>
    <w:rsid w:val="1AB20B53"/>
    <w:rsid w:val="1AE19CF4"/>
    <w:rsid w:val="1B7F4744"/>
    <w:rsid w:val="1BB0E668"/>
    <w:rsid w:val="1BF73A70"/>
    <w:rsid w:val="1C6E3B6A"/>
    <w:rsid w:val="1D65A9E6"/>
    <w:rsid w:val="1E51DE1C"/>
    <w:rsid w:val="1EE51C88"/>
    <w:rsid w:val="1F0999A3"/>
    <w:rsid w:val="1F1B3E4D"/>
    <w:rsid w:val="21591202"/>
    <w:rsid w:val="22177CCC"/>
    <w:rsid w:val="227C3B41"/>
    <w:rsid w:val="228D75D4"/>
    <w:rsid w:val="22C8B08E"/>
    <w:rsid w:val="22DBDC88"/>
    <w:rsid w:val="230E13B9"/>
    <w:rsid w:val="2351D590"/>
    <w:rsid w:val="2430E7F0"/>
    <w:rsid w:val="250BCE95"/>
    <w:rsid w:val="2578DB27"/>
    <w:rsid w:val="25CCA2B3"/>
    <w:rsid w:val="263DD69B"/>
    <w:rsid w:val="265D2CE1"/>
    <w:rsid w:val="2691DFA9"/>
    <w:rsid w:val="26B3CFA3"/>
    <w:rsid w:val="273B7644"/>
    <w:rsid w:val="283303EE"/>
    <w:rsid w:val="286FDA16"/>
    <w:rsid w:val="2A76D217"/>
    <w:rsid w:val="2CA9750F"/>
    <w:rsid w:val="2D259318"/>
    <w:rsid w:val="2DAD4A31"/>
    <w:rsid w:val="2E31DC62"/>
    <w:rsid w:val="30D2CE2B"/>
    <w:rsid w:val="30FE7C30"/>
    <w:rsid w:val="32812434"/>
    <w:rsid w:val="341CF495"/>
    <w:rsid w:val="3515C340"/>
    <w:rsid w:val="3575A4BE"/>
    <w:rsid w:val="35C237A1"/>
    <w:rsid w:val="368742ED"/>
    <w:rsid w:val="3900A606"/>
    <w:rsid w:val="393D788A"/>
    <w:rsid w:val="39CBC016"/>
    <w:rsid w:val="3B186264"/>
    <w:rsid w:val="3B3D0AAA"/>
    <w:rsid w:val="3C3D5313"/>
    <w:rsid w:val="3CEDD951"/>
    <w:rsid w:val="3E1D0A30"/>
    <w:rsid w:val="4084CE1E"/>
    <w:rsid w:val="40FB779D"/>
    <w:rsid w:val="41D61233"/>
    <w:rsid w:val="43263D61"/>
    <w:rsid w:val="4433185F"/>
    <w:rsid w:val="45BE6DB1"/>
    <w:rsid w:val="46796DFC"/>
    <w:rsid w:val="46EB6402"/>
    <w:rsid w:val="4835A011"/>
    <w:rsid w:val="4A89D94D"/>
    <w:rsid w:val="4AAC6A2B"/>
    <w:rsid w:val="4B46525B"/>
    <w:rsid w:val="4CEECCFF"/>
    <w:rsid w:val="4D43C14C"/>
    <w:rsid w:val="4D6538C7"/>
    <w:rsid w:val="4DA20B4B"/>
    <w:rsid w:val="4DDB0135"/>
    <w:rsid w:val="4E180453"/>
    <w:rsid w:val="4F4B67D2"/>
    <w:rsid w:val="4FA917F6"/>
    <w:rsid w:val="500D4564"/>
    <w:rsid w:val="504C144A"/>
    <w:rsid w:val="50F9799A"/>
    <w:rsid w:val="5320F2AE"/>
    <w:rsid w:val="53BD9611"/>
    <w:rsid w:val="546360BC"/>
    <w:rsid w:val="55C6ECFA"/>
    <w:rsid w:val="569DCEA1"/>
    <w:rsid w:val="584AFC72"/>
    <w:rsid w:val="59FF3568"/>
    <w:rsid w:val="5BAB80C8"/>
    <w:rsid w:val="5E549314"/>
    <w:rsid w:val="5EBE89E6"/>
    <w:rsid w:val="5ECAB905"/>
    <w:rsid w:val="60554E8F"/>
    <w:rsid w:val="60BC61FD"/>
    <w:rsid w:val="62B2FC82"/>
    <w:rsid w:val="638CEF51"/>
    <w:rsid w:val="6730E98A"/>
    <w:rsid w:val="6786CC6E"/>
    <w:rsid w:val="6BAA7F7D"/>
    <w:rsid w:val="6C40B66B"/>
    <w:rsid w:val="6DF2CE1E"/>
    <w:rsid w:val="704062F6"/>
    <w:rsid w:val="72AFF7EF"/>
    <w:rsid w:val="72E7C0E5"/>
    <w:rsid w:val="740DC059"/>
    <w:rsid w:val="744C2719"/>
    <w:rsid w:val="74AC69A7"/>
    <w:rsid w:val="77CE76D0"/>
    <w:rsid w:val="784D2363"/>
    <w:rsid w:val="792758CF"/>
    <w:rsid w:val="7C6C4CD4"/>
    <w:rsid w:val="7C737D32"/>
    <w:rsid w:val="7C8C28A6"/>
    <w:rsid w:val="7CA2C190"/>
    <w:rsid w:val="7F0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1BA99B3-267A-49C2-BB54-09999E9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74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0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h.gov.hu/h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zt.hu/hu-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Bodáné Dr. Kendrovics Rita</cp:lastModifiedBy>
  <cp:revision>2</cp:revision>
  <dcterms:created xsi:type="dcterms:W3CDTF">2025-03-17T14:07:00Z</dcterms:created>
  <dcterms:modified xsi:type="dcterms:W3CDTF">2025-03-17T14:07:00Z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