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proofErr w:type="spellStart"/>
            <w:r w:rsidRPr="0000235C">
              <w:rPr>
                <w:b/>
                <w:bCs/>
                <w:sz w:val="22"/>
                <w:szCs w:val="22"/>
              </w:rPr>
              <w:t>T</w:t>
            </w:r>
            <w:r w:rsidR="00B41893">
              <w:rPr>
                <w:b/>
                <w:bCs/>
                <w:sz w:val="22"/>
                <w:szCs w:val="22"/>
              </w:rPr>
              <w:t>itle</w:t>
            </w:r>
            <w:proofErr w:type="spellEnd"/>
            <w:r w:rsidR="00B41893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="00B41893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="00B418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41893">
              <w:rPr>
                <w:b/>
                <w:bCs/>
                <w:sz w:val="22"/>
                <w:szCs w:val="22"/>
              </w:rPr>
              <w:t>course</w:t>
            </w:r>
            <w:proofErr w:type="spellEnd"/>
            <w:r w:rsidRPr="0000235C">
              <w:rPr>
                <w:b/>
                <w:bCs/>
                <w:sz w:val="22"/>
                <w:szCs w:val="22"/>
              </w:rPr>
              <w:t>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B41893" w:rsidRDefault="00B41893" w:rsidP="0039381E">
            <w:pPr>
              <w:jc w:val="both"/>
              <w:rPr>
                <w:sz w:val="22"/>
                <w:szCs w:val="22"/>
              </w:rPr>
            </w:pPr>
            <w:proofErr w:type="spellStart"/>
            <w:r w:rsidRPr="00B41893">
              <w:rPr>
                <w:bCs/>
                <w:color w:val="4A4A4A"/>
                <w:sz w:val="22"/>
                <w:szCs w:val="22"/>
                <w:shd w:val="clear" w:color="auto" w:fill="FFFFFF"/>
              </w:rPr>
              <w:t>Environmental</w:t>
            </w:r>
            <w:proofErr w:type="spellEnd"/>
            <w:r w:rsidRPr="00B41893">
              <w:rPr>
                <w:bCs/>
                <w:color w:val="4A4A4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41893">
              <w:rPr>
                <w:bCs/>
                <w:color w:val="4A4A4A"/>
                <w:sz w:val="22"/>
                <w:szCs w:val="22"/>
                <w:shd w:val="clear" w:color="auto" w:fill="FFFFFF"/>
              </w:rPr>
              <w:t>analytics-Analytical</w:t>
            </w:r>
            <w:proofErr w:type="spellEnd"/>
            <w:r w:rsidRPr="00B41893">
              <w:rPr>
                <w:bCs/>
                <w:color w:val="4A4A4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41893">
              <w:rPr>
                <w:bCs/>
                <w:color w:val="4A4A4A"/>
                <w:sz w:val="22"/>
                <w:szCs w:val="22"/>
                <w:shd w:val="clear" w:color="auto" w:fill="FFFFFF"/>
              </w:rPr>
              <w:t>chemistry</w:t>
            </w:r>
            <w:proofErr w:type="spellEnd"/>
            <w:r w:rsidR="006A1D9E" w:rsidRPr="00B418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B41893" w:rsidP="0039381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NEPTUN-</w:t>
            </w:r>
            <w:proofErr w:type="spellStart"/>
            <w:r>
              <w:rPr>
                <w:b/>
                <w:bCs/>
                <w:sz w:val="22"/>
                <w:szCs w:val="22"/>
              </w:rPr>
              <w:t>code</w:t>
            </w:r>
            <w:proofErr w:type="spellEnd"/>
            <w:r w:rsidR="006A1D9E" w:rsidRPr="0000235C">
              <w:rPr>
                <w:b/>
                <w:bCs/>
                <w:sz w:val="22"/>
                <w:szCs w:val="22"/>
              </w:rPr>
              <w:t>: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  <w:p w:rsidR="006A1D9E" w:rsidRPr="00B41893" w:rsidRDefault="00B41893" w:rsidP="0039381E">
            <w:pPr>
              <w:jc w:val="both"/>
              <w:rPr>
                <w:sz w:val="22"/>
                <w:szCs w:val="22"/>
              </w:rPr>
            </w:pPr>
            <w:r w:rsidRPr="00B41893">
              <w:rPr>
                <w:color w:val="525659"/>
                <w:sz w:val="22"/>
                <w:szCs w:val="22"/>
                <w:shd w:val="clear" w:color="auto" w:fill="FFFFFF"/>
              </w:rPr>
              <w:t>RKXKA1EBNF</w:t>
            </w:r>
            <w:r w:rsidR="006A1D9E" w:rsidRPr="00B418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B41893" w:rsidP="003938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Weekly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teaching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hours</w:t>
            </w:r>
            <w:proofErr w:type="spellEnd"/>
            <w:r w:rsidR="006A1D9E" w:rsidRPr="0000235C">
              <w:rPr>
                <w:b/>
                <w:bCs/>
                <w:sz w:val="22"/>
                <w:szCs w:val="22"/>
              </w:rPr>
              <w:t>:</w:t>
            </w:r>
            <w:r w:rsidR="006A1D9E" w:rsidRPr="0000235C">
              <w:rPr>
                <w:sz w:val="22"/>
                <w:szCs w:val="22"/>
              </w:rPr>
              <w:t xml:space="preserve"> </w:t>
            </w:r>
            <w:proofErr w:type="spellStart"/>
            <w:r w:rsidRPr="00B41893">
              <w:rPr>
                <w:sz w:val="22"/>
                <w:szCs w:val="22"/>
              </w:rPr>
              <w:t>l+cw+lb</w:t>
            </w:r>
            <w:proofErr w:type="spellEnd"/>
            <w:r w:rsidR="006A1D9E"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2+0+3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B41893" w:rsidP="0039381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Credi</w:t>
            </w:r>
            <w:r w:rsidR="006A1D9E" w:rsidRPr="0000235C">
              <w:rPr>
                <w:b/>
                <w:bCs/>
                <w:sz w:val="22"/>
                <w:szCs w:val="22"/>
              </w:rPr>
              <w:t>t:</w:t>
            </w:r>
            <w:r w:rsidR="006A1D9E" w:rsidRPr="0000235C">
              <w:rPr>
                <w:sz w:val="22"/>
                <w:szCs w:val="22"/>
              </w:rPr>
              <w:t xml:space="preserve"> 5 </w:t>
            </w:r>
          </w:p>
          <w:p w:rsidR="006A1D9E" w:rsidRPr="0000235C" w:rsidRDefault="00B41893" w:rsidP="003938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Exam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type</w:t>
            </w:r>
            <w:proofErr w:type="spellEnd"/>
            <w:r w:rsidR="006A1D9E" w:rsidRPr="0000235C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tm</w:t>
            </w:r>
            <w:proofErr w:type="spellEnd"/>
            <w:r w:rsidR="006A1D9E"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           </w:t>
            </w:r>
          </w:p>
        </w:tc>
      </w:tr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B41893" w:rsidP="003938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Course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leader</w:t>
            </w:r>
            <w:proofErr w:type="spellEnd"/>
            <w:r w:rsidR="006A1D9E" w:rsidRPr="0000235C">
              <w:rPr>
                <w:b/>
                <w:bCs/>
                <w:sz w:val="22"/>
                <w:szCs w:val="22"/>
              </w:rPr>
              <w:t>: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  <w:p w:rsidR="006A1D9E" w:rsidRPr="00CF1B64" w:rsidRDefault="00CF1B64" w:rsidP="0039381E">
            <w:pPr>
              <w:jc w:val="both"/>
              <w:rPr>
                <w:sz w:val="22"/>
                <w:szCs w:val="22"/>
              </w:rPr>
            </w:pPr>
            <w:r w:rsidRPr="00CF1B64">
              <w:rPr>
                <w:bCs/>
                <w:color w:val="4A4A4A"/>
                <w:sz w:val="22"/>
                <w:szCs w:val="22"/>
                <w:shd w:val="clear" w:color="auto" w:fill="FFFFFF"/>
              </w:rPr>
              <w:t>Dr. Mészárosné Dr. Bálint Ágnes Ilona</w:t>
            </w:r>
            <w:r w:rsidR="006A1D9E" w:rsidRPr="00CF1B6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B41893" w:rsidP="003938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Position</w:t>
            </w:r>
            <w:proofErr w:type="spellEnd"/>
            <w:r w:rsidR="006A1D9E" w:rsidRPr="0000235C">
              <w:rPr>
                <w:b/>
                <w:bCs/>
                <w:sz w:val="22"/>
                <w:szCs w:val="22"/>
              </w:rPr>
              <w:t xml:space="preserve">: 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B41893" w:rsidP="003938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associate</w:t>
            </w:r>
            <w:proofErr w:type="spellEnd"/>
            <w:r>
              <w:rPr>
                <w:sz w:val="22"/>
                <w:szCs w:val="22"/>
              </w:rPr>
              <w:t xml:space="preserve"> professor</w:t>
            </w:r>
            <w:r w:rsidR="006A1D9E" w:rsidRPr="00002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CF1B64" w:rsidP="0039381E">
            <w:pPr>
              <w:rPr>
                <w:sz w:val="22"/>
                <w:szCs w:val="22"/>
              </w:rPr>
            </w:pPr>
            <w:proofErr w:type="spellStart"/>
            <w:r w:rsidRPr="00CF1B64">
              <w:rPr>
                <w:b/>
                <w:bCs/>
                <w:sz w:val="22"/>
                <w:szCs w:val="22"/>
              </w:rPr>
              <w:t>Required</w:t>
            </w:r>
            <w:proofErr w:type="spellEnd"/>
            <w:r w:rsidRPr="00CF1B6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1B64">
              <w:rPr>
                <w:b/>
                <w:bCs/>
                <w:sz w:val="22"/>
                <w:szCs w:val="22"/>
              </w:rPr>
              <w:t>preliminary</w:t>
            </w:r>
            <w:proofErr w:type="spellEnd"/>
            <w:r w:rsidRPr="00CF1B6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F1B64">
              <w:rPr>
                <w:b/>
                <w:bCs/>
                <w:sz w:val="22"/>
                <w:szCs w:val="22"/>
              </w:rPr>
              <w:t>knowledge</w:t>
            </w:r>
            <w:proofErr w:type="spellEnd"/>
            <w:r w:rsidRPr="00CF1B64">
              <w:rPr>
                <w:b/>
                <w:bCs/>
                <w:sz w:val="22"/>
                <w:szCs w:val="22"/>
              </w:rPr>
              <w:t>:</w:t>
            </w:r>
          </w:p>
          <w:p w:rsidR="006A1D9E" w:rsidRPr="0000235C" w:rsidRDefault="00B41893" w:rsidP="0039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RMXKE2KBNF, RKXFI1E</w:t>
            </w:r>
            <w:r w:rsidR="006A1D9E" w:rsidRPr="0000235C">
              <w:rPr>
                <w:sz w:val="22"/>
                <w:szCs w:val="22"/>
              </w:rPr>
              <w:t xml:space="preserve">BNF </w:t>
            </w:r>
          </w:p>
          <w:p w:rsidR="006A1D9E" w:rsidRPr="0000235C" w:rsidRDefault="00B41893" w:rsidP="0039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RMXKE2KBLF, RKXFI1E</w:t>
            </w:r>
            <w:r w:rsidR="006A1D9E" w:rsidRPr="0000235C">
              <w:rPr>
                <w:sz w:val="22"/>
                <w:szCs w:val="22"/>
              </w:rPr>
              <w:t xml:space="preserve">BLF  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CF1B64" w:rsidP="0039381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Curriculum</w:t>
            </w:r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:rsidR="00B142B8" w:rsidRPr="00B142B8" w:rsidRDefault="00B142B8" w:rsidP="00B142B8">
            <w:pPr>
              <w:jc w:val="both"/>
              <w:rPr>
                <w:sz w:val="22"/>
                <w:szCs w:val="22"/>
              </w:rPr>
            </w:pPr>
            <w:r w:rsidRPr="00B142B8">
              <w:rPr>
                <w:sz w:val="22"/>
                <w:szCs w:val="22"/>
              </w:rPr>
              <w:t xml:space="preserve">The </w:t>
            </w:r>
            <w:proofErr w:type="spellStart"/>
            <w:r w:rsidRPr="00B142B8">
              <w:rPr>
                <w:sz w:val="22"/>
                <w:szCs w:val="22"/>
              </w:rPr>
              <w:t>aim</w:t>
            </w:r>
            <w:proofErr w:type="spellEnd"/>
            <w:r w:rsidRPr="00B142B8">
              <w:rPr>
                <w:sz w:val="22"/>
                <w:szCs w:val="22"/>
              </w:rPr>
              <w:t xml:space="preserve"> of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course</w:t>
            </w:r>
            <w:proofErr w:type="spellEnd"/>
            <w:r w:rsidRPr="00B142B8">
              <w:rPr>
                <w:sz w:val="22"/>
                <w:szCs w:val="22"/>
              </w:rPr>
              <w:t xml:space="preserve"> is </w:t>
            </w:r>
            <w:proofErr w:type="spellStart"/>
            <w:r w:rsidRPr="00B142B8">
              <w:rPr>
                <w:sz w:val="22"/>
                <w:szCs w:val="22"/>
              </w:rPr>
              <w:t>to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present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possibilities</w:t>
            </w:r>
            <w:proofErr w:type="spellEnd"/>
            <w:r w:rsidRPr="00B142B8">
              <w:rPr>
                <w:sz w:val="22"/>
                <w:szCs w:val="22"/>
              </w:rPr>
              <w:t xml:space="preserve"> and </w:t>
            </w:r>
            <w:proofErr w:type="spellStart"/>
            <w:r w:rsidRPr="00B142B8">
              <w:rPr>
                <w:sz w:val="22"/>
                <w:szCs w:val="22"/>
              </w:rPr>
              <w:t>analytical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methods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for</w:t>
            </w:r>
            <w:proofErr w:type="spellEnd"/>
            <w:r w:rsidRPr="00B142B8">
              <w:rPr>
                <w:sz w:val="22"/>
                <w:szCs w:val="22"/>
              </w:rPr>
              <w:t xml:space="preserve"> testing </w:t>
            </w:r>
            <w:proofErr w:type="spellStart"/>
            <w:r w:rsidRPr="00B142B8">
              <w:rPr>
                <w:sz w:val="22"/>
                <w:szCs w:val="22"/>
              </w:rPr>
              <w:t>toxic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pollutants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released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into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environment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as</w:t>
            </w:r>
            <w:proofErr w:type="spellEnd"/>
            <w:r w:rsidRPr="00B142B8">
              <w:rPr>
                <w:sz w:val="22"/>
                <w:szCs w:val="22"/>
              </w:rPr>
              <w:t xml:space="preserve"> a </w:t>
            </w:r>
            <w:proofErr w:type="spellStart"/>
            <w:r w:rsidRPr="00B142B8">
              <w:rPr>
                <w:sz w:val="22"/>
                <w:szCs w:val="22"/>
              </w:rPr>
              <w:t>result</w:t>
            </w:r>
            <w:proofErr w:type="spellEnd"/>
            <w:r w:rsidRPr="00B142B8">
              <w:rPr>
                <w:sz w:val="22"/>
                <w:szCs w:val="22"/>
              </w:rPr>
              <w:t xml:space="preserve"> of human </w:t>
            </w:r>
            <w:proofErr w:type="spellStart"/>
            <w:r w:rsidRPr="00B142B8">
              <w:rPr>
                <w:sz w:val="22"/>
                <w:szCs w:val="22"/>
              </w:rPr>
              <w:t>activity</w:t>
            </w:r>
            <w:proofErr w:type="spellEnd"/>
            <w:r w:rsidRPr="00B142B8">
              <w:rPr>
                <w:sz w:val="22"/>
                <w:szCs w:val="22"/>
              </w:rPr>
              <w:t xml:space="preserve">. </w:t>
            </w:r>
            <w:proofErr w:type="spellStart"/>
            <w:r w:rsidRPr="00B142B8">
              <w:rPr>
                <w:sz w:val="22"/>
                <w:szCs w:val="22"/>
              </w:rPr>
              <w:t>Environmental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analytics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uses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analytical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chemistry</w:t>
            </w:r>
            <w:proofErr w:type="spellEnd"/>
            <w:r w:rsidRPr="00B142B8">
              <w:rPr>
                <w:sz w:val="22"/>
                <w:szCs w:val="22"/>
              </w:rPr>
              <w:t xml:space="preserve"> and </w:t>
            </w:r>
            <w:proofErr w:type="spellStart"/>
            <w:r w:rsidRPr="00B142B8">
              <w:rPr>
                <w:sz w:val="22"/>
                <w:szCs w:val="22"/>
              </w:rPr>
              <w:t>other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techniques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to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study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our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environment</w:t>
            </w:r>
            <w:proofErr w:type="spellEnd"/>
            <w:r w:rsidRPr="00B142B8">
              <w:rPr>
                <w:sz w:val="22"/>
                <w:szCs w:val="22"/>
              </w:rPr>
              <w:t xml:space="preserve">. The </w:t>
            </w:r>
            <w:proofErr w:type="spellStart"/>
            <w:r w:rsidRPr="00B142B8">
              <w:rPr>
                <w:sz w:val="22"/>
                <w:szCs w:val="22"/>
              </w:rPr>
              <w:t>primary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goal</w:t>
            </w:r>
            <w:proofErr w:type="spellEnd"/>
            <w:r w:rsidRPr="00B142B8">
              <w:rPr>
                <w:sz w:val="22"/>
                <w:szCs w:val="22"/>
              </w:rPr>
              <w:t xml:space="preserve"> is </w:t>
            </w:r>
            <w:proofErr w:type="spellStart"/>
            <w:r w:rsidRPr="00B142B8">
              <w:rPr>
                <w:sz w:val="22"/>
                <w:szCs w:val="22"/>
              </w:rPr>
              <w:t>to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introduce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possibilities</w:t>
            </w:r>
            <w:proofErr w:type="spellEnd"/>
            <w:r w:rsidRPr="00B142B8">
              <w:rPr>
                <w:sz w:val="22"/>
                <w:szCs w:val="22"/>
              </w:rPr>
              <w:t xml:space="preserve"> of </w:t>
            </w:r>
            <w:proofErr w:type="spellStart"/>
            <w:r w:rsidRPr="00B142B8">
              <w:rPr>
                <w:sz w:val="22"/>
                <w:szCs w:val="22"/>
              </w:rPr>
              <w:t>sampling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from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different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environmental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elements</w:t>
            </w:r>
            <w:proofErr w:type="spellEnd"/>
            <w:r w:rsidRPr="00B142B8">
              <w:rPr>
                <w:sz w:val="22"/>
                <w:szCs w:val="22"/>
              </w:rPr>
              <w:t xml:space="preserve"> (</w:t>
            </w:r>
            <w:proofErr w:type="spellStart"/>
            <w:r w:rsidRPr="00B142B8">
              <w:rPr>
                <w:sz w:val="22"/>
                <w:szCs w:val="22"/>
              </w:rPr>
              <w:t>atmosphere</w:t>
            </w:r>
            <w:proofErr w:type="spellEnd"/>
            <w:r w:rsidRPr="00B142B8">
              <w:rPr>
                <w:sz w:val="22"/>
                <w:szCs w:val="22"/>
              </w:rPr>
              <w:t xml:space="preserve">, </w:t>
            </w:r>
            <w:proofErr w:type="spellStart"/>
            <w:r w:rsidRPr="00B142B8">
              <w:rPr>
                <w:sz w:val="22"/>
                <w:szCs w:val="22"/>
              </w:rPr>
              <w:t>surface</w:t>
            </w:r>
            <w:proofErr w:type="spellEnd"/>
            <w:r w:rsidRPr="00B142B8">
              <w:rPr>
                <w:sz w:val="22"/>
                <w:szCs w:val="22"/>
              </w:rPr>
              <w:t xml:space="preserve"> and </w:t>
            </w:r>
            <w:proofErr w:type="spellStart"/>
            <w:r w:rsidRPr="00B142B8">
              <w:rPr>
                <w:sz w:val="22"/>
                <w:szCs w:val="22"/>
              </w:rPr>
              <w:t>subsurface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water</w:t>
            </w:r>
            <w:proofErr w:type="spellEnd"/>
            <w:r w:rsidRPr="00B142B8">
              <w:rPr>
                <w:sz w:val="22"/>
                <w:szCs w:val="22"/>
              </w:rPr>
              <w:t xml:space="preserve">, and </w:t>
            </w:r>
            <w:proofErr w:type="spellStart"/>
            <w:r w:rsidRPr="00B142B8">
              <w:rPr>
                <w:sz w:val="22"/>
                <w:szCs w:val="22"/>
              </w:rPr>
              <w:t>soil</w:t>
            </w:r>
            <w:proofErr w:type="spellEnd"/>
            <w:r w:rsidRPr="00B142B8">
              <w:rPr>
                <w:sz w:val="22"/>
                <w:szCs w:val="22"/>
              </w:rPr>
              <w:t xml:space="preserve">) and </w:t>
            </w:r>
            <w:proofErr w:type="spellStart"/>
            <w:r w:rsidRPr="00B142B8">
              <w:rPr>
                <w:sz w:val="22"/>
                <w:szCs w:val="22"/>
              </w:rPr>
              <w:t>thereby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assess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whether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are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contaminated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with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organic</w:t>
            </w:r>
            <w:proofErr w:type="spellEnd"/>
            <w:r w:rsidRPr="00B142B8">
              <w:rPr>
                <w:sz w:val="22"/>
                <w:szCs w:val="22"/>
              </w:rPr>
              <w:t xml:space="preserve"> and </w:t>
            </w:r>
            <w:proofErr w:type="spellStart"/>
            <w:r w:rsidRPr="00B142B8">
              <w:rPr>
                <w:sz w:val="22"/>
                <w:szCs w:val="22"/>
              </w:rPr>
              <w:t>inorganic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toxic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substances</w:t>
            </w:r>
            <w:proofErr w:type="spellEnd"/>
            <w:r w:rsidRPr="00B142B8">
              <w:rPr>
                <w:sz w:val="22"/>
                <w:szCs w:val="22"/>
              </w:rPr>
              <w:t xml:space="preserve">. The </w:t>
            </w:r>
            <w:proofErr w:type="spellStart"/>
            <w:r w:rsidRPr="00B142B8">
              <w:rPr>
                <w:sz w:val="22"/>
                <w:szCs w:val="22"/>
              </w:rPr>
              <w:t>course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covers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physical</w:t>
            </w:r>
            <w:proofErr w:type="spellEnd"/>
            <w:r w:rsidRPr="00B142B8">
              <w:rPr>
                <w:sz w:val="22"/>
                <w:szCs w:val="22"/>
              </w:rPr>
              <w:t xml:space="preserve"> and </w:t>
            </w:r>
            <w:proofErr w:type="spellStart"/>
            <w:r w:rsidRPr="00B142B8">
              <w:rPr>
                <w:sz w:val="22"/>
                <w:szCs w:val="22"/>
              </w:rPr>
              <w:t>chemical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fundamentals</w:t>
            </w:r>
            <w:proofErr w:type="spellEnd"/>
            <w:r w:rsidRPr="00B142B8">
              <w:rPr>
                <w:sz w:val="22"/>
                <w:szCs w:val="22"/>
              </w:rPr>
              <w:t xml:space="preserve"> of </w:t>
            </w:r>
            <w:proofErr w:type="spellStart"/>
            <w:r w:rsidRPr="00B142B8">
              <w:rPr>
                <w:sz w:val="22"/>
                <w:szCs w:val="22"/>
              </w:rPr>
              <w:t>environmental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analysis</w:t>
            </w:r>
            <w:proofErr w:type="spellEnd"/>
            <w:r w:rsidRPr="00B142B8">
              <w:rPr>
                <w:sz w:val="22"/>
                <w:szCs w:val="22"/>
              </w:rPr>
              <w:t xml:space="preserve">, </w:t>
            </w:r>
            <w:proofErr w:type="spellStart"/>
            <w:r w:rsidRPr="00B142B8">
              <w:rPr>
                <w:sz w:val="22"/>
                <w:szCs w:val="22"/>
              </w:rPr>
              <w:t>introduces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various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validation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methods</w:t>
            </w:r>
            <w:proofErr w:type="spellEnd"/>
            <w:r w:rsidRPr="00B142B8">
              <w:rPr>
                <w:sz w:val="22"/>
                <w:szCs w:val="22"/>
              </w:rPr>
              <w:t xml:space="preserve">, and </w:t>
            </w:r>
            <w:proofErr w:type="spellStart"/>
            <w:r w:rsidRPr="00B142B8">
              <w:rPr>
                <w:sz w:val="22"/>
                <w:szCs w:val="22"/>
              </w:rPr>
              <w:t>emphasizes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importance</w:t>
            </w:r>
            <w:proofErr w:type="spellEnd"/>
            <w:r w:rsidRPr="00B142B8">
              <w:rPr>
                <w:sz w:val="22"/>
                <w:szCs w:val="22"/>
              </w:rPr>
              <w:t xml:space="preserve"> of </w:t>
            </w:r>
            <w:proofErr w:type="spellStart"/>
            <w:r w:rsidRPr="00B142B8">
              <w:rPr>
                <w:sz w:val="22"/>
                <w:szCs w:val="22"/>
              </w:rPr>
              <w:t>standardization</w:t>
            </w:r>
            <w:proofErr w:type="spellEnd"/>
            <w:r w:rsidRPr="00B142B8">
              <w:rPr>
                <w:sz w:val="22"/>
                <w:szCs w:val="22"/>
              </w:rPr>
              <w:t xml:space="preserve">. </w:t>
            </w:r>
            <w:proofErr w:type="spellStart"/>
            <w:r w:rsidRPr="00B142B8">
              <w:rPr>
                <w:sz w:val="22"/>
                <w:szCs w:val="22"/>
              </w:rPr>
              <w:t>Students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learn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about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various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sampling</w:t>
            </w:r>
            <w:proofErr w:type="spellEnd"/>
            <w:r w:rsidRPr="00B142B8">
              <w:rPr>
                <w:sz w:val="22"/>
                <w:szCs w:val="22"/>
              </w:rPr>
              <w:t xml:space="preserve"> and </w:t>
            </w:r>
            <w:proofErr w:type="spellStart"/>
            <w:r w:rsidRPr="00B142B8">
              <w:rPr>
                <w:sz w:val="22"/>
                <w:szCs w:val="22"/>
              </w:rPr>
              <w:t>sample</w:t>
            </w:r>
            <w:proofErr w:type="spellEnd"/>
            <w:r w:rsidRPr="00B142B8">
              <w:rPr>
                <w:sz w:val="22"/>
                <w:szCs w:val="22"/>
              </w:rPr>
              <w:t xml:space="preserve"> preparation </w:t>
            </w:r>
            <w:proofErr w:type="spellStart"/>
            <w:r w:rsidRPr="00B142B8">
              <w:rPr>
                <w:sz w:val="22"/>
                <w:szCs w:val="22"/>
              </w:rPr>
              <w:t>procedures</w:t>
            </w:r>
            <w:proofErr w:type="spellEnd"/>
            <w:r w:rsidRPr="00B142B8">
              <w:rPr>
                <w:sz w:val="22"/>
                <w:szCs w:val="22"/>
              </w:rPr>
              <w:t xml:space="preserve">, </w:t>
            </w:r>
            <w:proofErr w:type="spellStart"/>
            <w:r w:rsidRPr="00B142B8">
              <w:rPr>
                <w:sz w:val="22"/>
                <w:szCs w:val="22"/>
              </w:rPr>
              <w:t>review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atomic</w:t>
            </w:r>
            <w:proofErr w:type="spellEnd"/>
            <w:r w:rsidRPr="00B142B8">
              <w:rPr>
                <w:sz w:val="22"/>
                <w:szCs w:val="22"/>
              </w:rPr>
              <w:t xml:space="preserve"> and </w:t>
            </w:r>
            <w:proofErr w:type="spellStart"/>
            <w:r w:rsidRPr="00B142B8">
              <w:rPr>
                <w:sz w:val="22"/>
                <w:szCs w:val="22"/>
              </w:rPr>
              <w:t>molecular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spectroscopic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techniques</w:t>
            </w:r>
            <w:proofErr w:type="spellEnd"/>
            <w:r w:rsidRPr="00B142B8">
              <w:rPr>
                <w:sz w:val="22"/>
                <w:szCs w:val="22"/>
              </w:rPr>
              <w:t xml:space="preserve">, and </w:t>
            </w:r>
            <w:proofErr w:type="spellStart"/>
            <w:r w:rsidRPr="00B142B8">
              <w:rPr>
                <w:sz w:val="22"/>
                <w:szCs w:val="22"/>
              </w:rPr>
              <w:t>learn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about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most important </w:t>
            </w:r>
            <w:proofErr w:type="spellStart"/>
            <w:r w:rsidRPr="00B142B8">
              <w:rPr>
                <w:sz w:val="22"/>
                <w:szCs w:val="22"/>
              </w:rPr>
              <w:t>separation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techniques</w:t>
            </w:r>
            <w:proofErr w:type="spellEnd"/>
            <w:r w:rsidRPr="00B142B8">
              <w:rPr>
                <w:sz w:val="22"/>
                <w:szCs w:val="22"/>
              </w:rPr>
              <w:t xml:space="preserve">.  During </w:t>
            </w:r>
            <w:proofErr w:type="spellStart"/>
            <w:r w:rsidRPr="00B142B8">
              <w:rPr>
                <w:sz w:val="22"/>
                <w:szCs w:val="22"/>
              </w:rPr>
              <w:t>laboratory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exercises</w:t>
            </w:r>
            <w:proofErr w:type="spellEnd"/>
            <w:r w:rsidRPr="00B142B8">
              <w:rPr>
                <w:sz w:val="22"/>
                <w:szCs w:val="22"/>
              </w:rPr>
              <w:t xml:space="preserve">, </w:t>
            </w:r>
            <w:proofErr w:type="spellStart"/>
            <w:r w:rsidRPr="00B142B8">
              <w:rPr>
                <w:sz w:val="22"/>
                <w:szCs w:val="22"/>
              </w:rPr>
              <w:t>students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apply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methods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learned</w:t>
            </w:r>
            <w:proofErr w:type="spellEnd"/>
            <w:r w:rsidRPr="00B142B8">
              <w:rPr>
                <w:sz w:val="22"/>
                <w:szCs w:val="22"/>
              </w:rPr>
              <w:t xml:space="preserve"> in </w:t>
            </w:r>
            <w:proofErr w:type="spellStart"/>
            <w:r w:rsidRPr="00B142B8">
              <w:rPr>
                <w:sz w:val="22"/>
                <w:szCs w:val="22"/>
              </w:rPr>
              <w:t>theory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to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environmental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samples</w:t>
            </w:r>
            <w:proofErr w:type="spellEnd"/>
            <w:r w:rsidRPr="00B142B8">
              <w:rPr>
                <w:sz w:val="22"/>
                <w:szCs w:val="22"/>
              </w:rPr>
              <w:t xml:space="preserve">, </w:t>
            </w:r>
            <w:proofErr w:type="spellStart"/>
            <w:r w:rsidRPr="00B142B8">
              <w:rPr>
                <w:sz w:val="22"/>
                <w:szCs w:val="22"/>
              </w:rPr>
              <w:t>measuring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them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using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appropriate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analytical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instruments</w:t>
            </w:r>
            <w:proofErr w:type="spellEnd"/>
            <w:r w:rsidRPr="00B142B8">
              <w:rPr>
                <w:sz w:val="22"/>
                <w:szCs w:val="22"/>
              </w:rPr>
              <w:t xml:space="preserve">, </w:t>
            </w:r>
            <w:proofErr w:type="spellStart"/>
            <w:r w:rsidRPr="00B142B8">
              <w:rPr>
                <w:sz w:val="22"/>
                <w:szCs w:val="22"/>
              </w:rPr>
              <w:t>from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sampling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to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sample</w:t>
            </w:r>
            <w:proofErr w:type="spellEnd"/>
            <w:r w:rsidRPr="00B142B8">
              <w:rPr>
                <w:sz w:val="22"/>
                <w:szCs w:val="22"/>
              </w:rPr>
              <w:t xml:space="preserve"> preparation, </w:t>
            </w:r>
            <w:proofErr w:type="spellStart"/>
            <w:r w:rsidRPr="00B142B8">
              <w:rPr>
                <w:sz w:val="22"/>
                <w:szCs w:val="22"/>
              </w:rPr>
              <w:t>to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determine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whether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they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contain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any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inorganic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or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organic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toxic</w:t>
            </w:r>
            <w:proofErr w:type="spellEnd"/>
            <w:r w:rsidRPr="00B142B8">
              <w:rPr>
                <w:sz w:val="22"/>
                <w:szCs w:val="22"/>
              </w:rPr>
              <w:t xml:space="preserve"> </w:t>
            </w:r>
            <w:proofErr w:type="spellStart"/>
            <w:r w:rsidRPr="00B142B8">
              <w:rPr>
                <w:sz w:val="22"/>
                <w:szCs w:val="22"/>
              </w:rPr>
              <w:t>substances</w:t>
            </w:r>
            <w:proofErr w:type="spellEnd"/>
            <w:r w:rsidRPr="00B142B8">
              <w:rPr>
                <w:sz w:val="22"/>
                <w:szCs w:val="22"/>
              </w:rPr>
              <w:t xml:space="preserve">. </w:t>
            </w:r>
          </w:p>
          <w:p w:rsidR="006A1D9E" w:rsidRPr="0000235C" w:rsidRDefault="006A1D9E" w:rsidP="00B142B8">
            <w:pPr>
              <w:jc w:val="both"/>
              <w:rPr>
                <w:sz w:val="22"/>
                <w:szCs w:val="22"/>
              </w:rPr>
            </w:pPr>
          </w:p>
        </w:tc>
      </w:tr>
      <w:tr w:rsidR="006A1D9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00235C" w:rsidRDefault="0090672C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Detailed schedule of the course:</w:t>
            </w:r>
          </w:p>
        </w:tc>
      </w:tr>
      <w:tr w:rsidR="006A1D9E" w:rsidRPr="005D6475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AE60D4" w:rsidP="0090672C">
            <w:pPr>
              <w:spacing w:after="2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Week</w:t>
            </w:r>
            <w:r w:rsidR="0090672C">
              <w:rPr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AE60D4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60D4">
              <w:rPr>
                <w:b/>
                <w:sz w:val="20"/>
                <w:szCs w:val="20"/>
              </w:rPr>
              <w:t>Topics</w:t>
            </w:r>
            <w:proofErr w:type="spellEnd"/>
            <w:r w:rsidRPr="00AE60D4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b/>
                <w:sz w:val="20"/>
                <w:szCs w:val="20"/>
              </w:rPr>
              <w:t>lectures</w:t>
            </w:r>
            <w:proofErr w:type="spellEnd"/>
            <w:r w:rsidRPr="00AE60D4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b/>
                <w:sz w:val="20"/>
                <w:szCs w:val="20"/>
              </w:rPr>
              <w:t>exercises</w:t>
            </w:r>
            <w:proofErr w:type="spellEnd"/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9E" w:rsidRPr="009E7EDD" w:rsidRDefault="00AE60D4" w:rsidP="00D93404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AE60D4">
              <w:rPr>
                <w:rFonts w:eastAsia="Arial"/>
                <w:sz w:val="20"/>
                <w:szCs w:val="20"/>
              </w:rPr>
              <w:t xml:space="preserve">General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introduction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accident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prevention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laboratory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rules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calculation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exercises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alkalinity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water</w:t>
            </w:r>
            <w:proofErr w:type="spellEnd"/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 w:rsidRPr="00AE60D4">
              <w:rPr>
                <w:rFonts w:eastAsia="Arial"/>
                <w:sz w:val="20"/>
                <w:szCs w:val="20"/>
              </w:rPr>
              <w:t>Sample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preparation,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classical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analyses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electroanalytics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chemical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oxygen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demand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solid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phase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extraction</w:t>
            </w:r>
            <w:proofErr w:type="spellEnd"/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AE60D4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AAS, ICP, X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ray</w:t>
            </w:r>
            <w:proofErr w:type="spellEnd"/>
            <w:r w:rsidRPr="009E7EDD">
              <w:rPr>
                <w:rFonts w:eastAsia="Arial"/>
                <w:sz w:val="20"/>
                <w:szCs w:val="20"/>
              </w:rPr>
              <w:t xml:space="preserve">, </w:t>
            </w:r>
          </w:p>
        </w:tc>
      </w:tr>
      <w:tr w:rsidR="006A1D9E" w:rsidRPr="009E7EDD" w:rsidTr="0039381E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Cromatography</w:t>
            </w:r>
            <w:proofErr w:type="spellEnd"/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AE60D4" w:rsidP="00AE60D4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gas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chromatography</w:t>
            </w:r>
            <w:proofErr w:type="spellEnd"/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AE60D4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MS, </w:t>
            </w:r>
            <w:proofErr w:type="spellStart"/>
            <w:r w:rsidR="00AE60D4">
              <w:rPr>
                <w:rFonts w:eastAsia="Arial"/>
                <w:sz w:val="20"/>
                <w:szCs w:val="20"/>
              </w:rPr>
              <w:t>quality</w:t>
            </w:r>
            <w:proofErr w:type="spellEnd"/>
            <w:r w:rsidR="00AE60D4">
              <w:rPr>
                <w:rFonts w:eastAsia="Arial"/>
                <w:sz w:val="20"/>
                <w:szCs w:val="20"/>
              </w:rPr>
              <w:t xml:space="preserve"> management</w:t>
            </w:r>
            <w:r w:rsidRPr="009E7EDD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="00AE60D4">
              <w:rPr>
                <w:rFonts w:eastAsia="Arial"/>
                <w:sz w:val="20"/>
                <w:szCs w:val="20"/>
              </w:rPr>
              <w:t>validation</w:t>
            </w:r>
            <w:proofErr w:type="spellEnd"/>
          </w:p>
        </w:tc>
      </w:tr>
      <w:tr w:rsidR="006A1D9E" w:rsidRPr="009E7EDD" w:rsidTr="0039381E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Replacement</w:t>
            </w:r>
            <w:proofErr w:type="spellEnd"/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AE60D4">
              <w:rPr>
                <w:rFonts w:eastAsia="Arial"/>
                <w:sz w:val="20"/>
                <w:szCs w:val="20"/>
              </w:rPr>
              <w:t xml:space="preserve">The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importance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chemical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analysis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Contaminant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transport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processes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in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environment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The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concept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fields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tasks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environmental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analysis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The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process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main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steps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environmental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analysis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The most important performance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characteristics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(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lower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measurement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AE60D4">
              <w:rPr>
                <w:rFonts w:eastAsia="Arial"/>
                <w:sz w:val="20"/>
                <w:szCs w:val="20"/>
              </w:rPr>
              <w:t>limit</w:t>
            </w:r>
            <w:proofErr w:type="gram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measurement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uncertainty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).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Requirements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for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methods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used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concept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gramStart"/>
            <w:r w:rsidRPr="00AE60D4">
              <w:rPr>
                <w:rFonts w:eastAsia="Arial"/>
                <w:sz w:val="20"/>
                <w:szCs w:val="20"/>
              </w:rPr>
              <w:t>limit</w:t>
            </w:r>
            <w:proofErr w:type="gram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values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their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types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practical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application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Documentation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Formal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content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requirements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for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plan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report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and test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report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 w:rsidRPr="00AE60D4">
              <w:rPr>
                <w:rFonts w:eastAsia="Arial"/>
                <w:sz w:val="20"/>
                <w:szCs w:val="20"/>
              </w:rPr>
              <w:t>Quality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assurance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accreditation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legal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requirements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for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methods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used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Classification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methods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(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standards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standardization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other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methods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).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Traceability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to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international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standards. The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concept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application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certified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reference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materials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Validation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verification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rules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preparation. The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problem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representative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types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Quality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assurance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in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-site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laboratory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testing.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Special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problems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(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rapidly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changing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environment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>).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testing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soil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groundwater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Legal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requirements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inorganic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organic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chemical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testing.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Issues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related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to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waste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testing.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Special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testing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for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disposal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by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landfilling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utilization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SRF.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municipal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waste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 w:rsidRPr="00AE60D4">
              <w:rPr>
                <w:rFonts w:eastAsia="Arial"/>
                <w:sz w:val="20"/>
                <w:szCs w:val="20"/>
              </w:rPr>
              <w:t>Surface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water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testing.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Analytical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requirements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Water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Framework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Directive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Analytical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problems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organic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pollutants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present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in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low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concentrations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Wastewater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testing. The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concepts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qualified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point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time-proportional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volume-proportional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gramStart"/>
            <w:r w:rsidRPr="00AE60D4">
              <w:rPr>
                <w:rFonts w:eastAsia="Arial"/>
                <w:sz w:val="20"/>
                <w:szCs w:val="20"/>
              </w:rPr>
              <w:t>Limit</w:t>
            </w:r>
            <w:proofErr w:type="gram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values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their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interpretation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Technological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emission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control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tests.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Wastewater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self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-monitoring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plan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Drinking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water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utility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service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measurements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Well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base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tests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end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point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control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Chemical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biological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parameters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A1D9E" w:rsidRPr="009E7EDD" w:rsidTr="0039381E">
        <w:trPr>
          <w:trHeight w:val="8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1D9E" w:rsidRPr="009E7EDD" w:rsidRDefault="00AE60D4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AE60D4">
              <w:rPr>
                <w:rFonts w:eastAsia="Arial"/>
                <w:sz w:val="20"/>
                <w:szCs w:val="20"/>
              </w:rPr>
              <w:t xml:space="preserve">Air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quality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measurements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Sampling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testing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ambient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air,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workplace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air,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emitted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air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pollutants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gramStart"/>
            <w:r w:rsidRPr="00AE60D4">
              <w:rPr>
                <w:rFonts w:eastAsia="Arial"/>
                <w:sz w:val="20"/>
                <w:szCs w:val="20"/>
              </w:rPr>
              <w:t>Limit</w:t>
            </w:r>
            <w:proofErr w:type="gram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values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their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application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interpretation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Rolling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average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and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smog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alerts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Special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issues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: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Indoor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air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quality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measurement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of </w:t>
            </w:r>
            <w:proofErr w:type="spellStart"/>
            <w:r w:rsidRPr="00AE60D4">
              <w:rPr>
                <w:rFonts w:eastAsia="Arial"/>
                <w:sz w:val="20"/>
                <w:szCs w:val="20"/>
              </w:rPr>
              <w:t>environmental</w:t>
            </w:r>
            <w:proofErr w:type="spellEnd"/>
            <w:r w:rsidRPr="00AE60D4">
              <w:rPr>
                <w:rFonts w:eastAsia="Arial"/>
                <w:sz w:val="20"/>
                <w:szCs w:val="20"/>
              </w:rPr>
              <w:t xml:space="preserve"> odors.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D9E" w:rsidRPr="009E7EDD" w:rsidRDefault="00AE60D4" w:rsidP="00AE60D4">
            <w:pPr>
              <w:spacing w:after="240"/>
              <w:jc w:val="both"/>
              <w:rPr>
                <w:sz w:val="20"/>
                <w:szCs w:val="20"/>
              </w:rPr>
            </w:pPr>
            <w:proofErr w:type="spellStart"/>
            <w:r w:rsidRPr="00AE60D4">
              <w:rPr>
                <w:rFonts w:eastAsia="Arial Unicode MS"/>
                <w:sz w:val="20"/>
                <w:szCs w:val="20"/>
              </w:rPr>
              <w:t>Midterm</w:t>
            </w:r>
            <w:proofErr w:type="spellEnd"/>
            <w:r w:rsidRPr="00AE60D4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AE60D4">
              <w:rPr>
                <w:rFonts w:eastAsia="Arial Unicode MS"/>
                <w:sz w:val="20"/>
                <w:szCs w:val="20"/>
              </w:rPr>
              <w:t>evaluation</w:t>
            </w:r>
            <w:proofErr w:type="spellEnd"/>
            <w:r w:rsidRPr="00AE60D4">
              <w:rPr>
                <w:rFonts w:eastAsia="Arial Unicode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written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test</w:t>
            </w:r>
            <w:r w:rsidRPr="00AE60D4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6A1D9E" w:rsidRPr="0000235C" w:rsidTr="00D92841">
        <w:trPr>
          <w:trHeight w:val="32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D9E" w:rsidRPr="0000235C" w:rsidRDefault="00AE60D4" w:rsidP="0039381E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Mid </w:t>
            </w:r>
            <w:proofErr w:type="spellStart"/>
            <w:r w:rsidRPr="00AE60D4">
              <w:rPr>
                <w:rFonts w:eastAsia="Arial Unicode MS"/>
                <w:b/>
                <w:sz w:val="22"/>
                <w:szCs w:val="22"/>
              </w:rPr>
              <w:t>term</w:t>
            </w:r>
            <w:proofErr w:type="spellEnd"/>
            <w:r w:rsidRPr="00AE60D4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AE60D4">
              <w:rPr>
                <w:rFonts w:eastAsia="Arial Unicode MS"/>
                <w:b/>
                <w:sz w:val="22"/>
                <w:szCs w:val="22"/>
              </w:rPr>
              <w:t>requirements</w:t>
            </w:r>
            <w:proofErr w:type="spellEnd"/>
          </w:p>
        </w:tc>
      </w:tr>
      <w:tr w:rsidR="006A1D9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C97" w:rsidRDefault="00127C97" w:rsidP="00127C97">
            <w:pPr>
              <w:spacing w:after="2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Attendance at lectures:</w:t>
            </w:r>
          </w:p>
          <w:p w:rsidR="00127C97" w:rsidRDefault="00127C97" w:rsidP="00127C9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It is compulsory to attend the lectures. The rules of education and exam directory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TÜ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) are the guidelines.</w:t>
            </w:r>
          </w:p>
          <w:p w:rsidR="006A1D9E" w:rsidRPr="0000235C" w:rsidRDefault="006A1D9E" w:rsidP="00E77FE5">
            <w:pPr>
              <w:spacing w:after="240"/>
              <w:rPr>
                <w:rFonts w:eastAsia="Arial Unicode MS"/>
                <w:sz w:val="22"/>
                <w:szCs w:val="22"/>
              </w:rPr>
            </w:pPr>
          </w:p>
        </w:tc>
      </w:tr>
      <w:tr w:rsidR="006A1D9E" w:rsidRPr="0000235C" w:rsidTr="0039381E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C97" w:rsidRDefault="00127C97" w:rsidP="00127C97">
            <w:pPr>
              <w:tabs>
                <w:tab w:val="left" w:pos="720"/>
              </w:tabs>
              <w:spacing w:after="2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Exams and tests (types, data)</w:t>
            </w:r>
          </w:p>
          <w:p w:rsidR="00127C97" w:rsidRDefault="00127C97" w:rsidP="003938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One</w:t>
            </w:r>
            <w:proofErr w:type="spellEnd"/>
            <w:r>
              <w:rPr>
                <w:sz w:val="22"/>
                <w:szCs w:val="22"/>
              </w:rPr>
              <w:t xml:space="preserve"> mid </w:t>
            </w:r>
            <w:proofErr w:type="spellStart"/>
            <w:r>
              <w:rPr>
                <w:sz w:val="22"/>
                <w:szCs w:val="22"/>
              </w:rPr>
              <w:t>term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written</w:t>
            </w:r>
            <w:proofErr w:type="spellEnd"/>
            <w:r>
              <w:rPr>
                <w:sz w:val="22"/>
                <w:szCs w:val="22"/>
              </w:rPr>
              <w:t xml:space="preserve"> test.</w:t>
            </w:r>
          </w:p>
          <w:p w:rsidR="006A1D9E" w:rsidRPr="0000235C" w:rsidRDefault="00127C97" w:rsidP="00127C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Written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exam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6A1D9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C97" w:rsidRPr="007C678E" w:rsidRDefault="00127C97" w:rsidP="00127C97">
            <w:pPr>
              <w:rPr>
                <w:i/>
                <w:lang w:val="en-GB"/>
              </w:rPr>
            </w:pPr>
            <w:r w:rsidRPr="007C678E">
              <w:rPr>
                <w:i/>
                <w:lang w:val="en-GB"/>
              </w:rPr>
              <w:t>Methods of qualification:</w:t>
            </w:r>
          </w:p>
          <w:p w:rsidR="00127C97" w:rsidRDefault="00127C97" w:rsidP="00127C97">
            <w:pPr>
              <w:rPr>
                <w:sz w:val="22"/>
                <w:szCs w:val="22"/>
                <w:lang w:val="en-GB"/>
              </w:rPr>
            </w:pPr>
          </w:p>
          <w:p w:rsidR="00127C97" w:rsidRPr="007C678E" w:rsidRDefault="00127C97" w:rsidP="00127C97">
            <w:pPr>
              <w:rPr>
                <w:sz w:val="22"/>
                <w:szCs w:val="22"/>
                <w:lang w:val="en-GB"/>
              </w:rPr>
            </w:pPr>
            <w:r w:rsidRPr="007C678E">
              <w:rPr>
                <w:sz w:val="22"/>
                <w:szCs w:val="22"/>
                <w:lang w:val="en-GB"/>
              </w:rPr>
              <w:t xml:space="preserve">Basis of marking: attendance at lectures and practical works. Written </w:t>
            </w:r>
            <w:proofErr w:type="spellStart"/>
            <w:r>
              <w:rPr>
                <w:sz w:val="22"/>
                <w:szCs w:val="22"/>
                <w:lang w:val="en-GB"/>
              </w:rPr>
              <w:t>mid term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r w:rsidRPr="007C678E">
              <w:rPr>
                <w:sz w:val="22"/>
                <w:szCs w:val="22"/>
                <w:lang w:val="en-GB"/>
              </w:rPr>
              <w:t xml:space="preserve">test </w:t>
            </w:r>
            <w:r>
              <w:rPr>
                <w:sz w:val="22"/>
                <w:szCs w:val="22"/>
                <w:lang w:val="en-GB"/>
              </w:rPr>
              <w:t>(10</w:t>
            </w:r>
            <w:r w:rsidRPr="007C678E">
              <w:rPr>
                <w:sz w:val="22"/>
                <w:szCs w:val="22"/>
                <w:lang w:val="en-GB"/>
              </w:rPr>
              <w:t>0 points).</w:t>
            </w:r>
          </w:p>
          <w:p w:rsidR="00127C97" w:rsidRDefault="00127C97" w:rsidP="00127C9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Written exam (100 points).</w:t>
            </w:r>
          </w:p>
          <w:p w:rsidR="00127C97" w:rsidRPr="007C678E" w:rsidRDefault="00127C97" w:rsidP="00127C97">
            <w:pPr>
              <w:rPr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7C678E">
              <w:rPr>
                <w:sz w:val="22"/>
                <w:szCs w:val="22"/>
                <w:lang w:val="en-GB"/>
              </w:rPr>
              <w:t>Marking: Total points from two tests = 100 points</w:t>
            </w:r>
          </w:p>
          <w:p w:rsidR="006A1D9E" w:rsidRPr="0000235C" w:rsidRDefault="00127C97" w:rsidP="00127C97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7C678E">
              <w:rPr>
                <w:sz w:val="22"/>
                <w:szCs w:val="22"/>
                <w:lang w:val="en-GB"/>
              </w:rPr>
              <w:t>0-40 points: fail (1), 41-55 points: pass (2), 56-70 points: satisfactory (3), 71-85 points: good (4), 86-100 points: excellent (5)</w:t>
            </w:r>
          </w:p>
        </w:tc>
      </w:tr>
      <w:tr w:rsidR="006A1D9E" w:rsidRPr="0000235C" w:rsidTr="0039381E">
        <w:trPr>
          <w:trHeight w:val="27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FA538E" w:rsidP="0039381E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FA538E">
              <w:rPr>
                <w:rFonts w:eastAsia="Calibri"/>
                <w:b/>
                <w:iCs/>
                <w:sz w:val="22"/>
                <w:szCs w:val="22"/>
              </w:rPr>
              <w:t xml:space="preserve">Professional </w:t>
            </w:r>
            <w:proofErr w:type="spellStart"/>
            <w:r w:rsidRPr="00FA538E">
              <w:rPr>
                <w:rFonts w:eastAsia="Calibri"/>
                <w:b/>
                <w:iCs/>
                <w:sz w:val="22"/>
                <w:szCs w:val="22"/>
              </w:rPr>
              <w:t>competencies</w:t>
            </w:r>
            <w:proofErr w:type="spellEnd"/>
            <w:r w:rsidRPr="00FA538E">
              <w:rPr>
                <w:rFonts w:eastAsia="Calibri"/>
                <w:b/>
                <w:iCs/>
                <w:sz w:val="22"/>
                <w:szCs w:val="22"/>
              </w:rPr>
              <w:t>:</w:t>
            </w:r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:rsidR="00FA538E" w:rsidRPr="00FA538E" w:rsidRDefault="00FA538E" w:rsidP="00FA538E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Knowledge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general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specific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mathematical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natural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social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scientific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principles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,</w:t>
            </w:r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rules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relations,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procedures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required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pursue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activities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special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field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</w:t>
            </w:r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environment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protection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FA538E" w:rsidRPr="00FA538E" w:rsidRDefault="00FA538E" w:rsidP="00FA538E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FA538E">
              <w:rPr>
                <w:color w:val="000000" w:themeColor="text1"/>
                <w:sz w:val="22"/>
                <w:szCs w:val="22"/>
              </w:rPr>
              <w:t xml:space="preserve">In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possession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state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-of-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-art IT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skills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being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use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professional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databases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</w:t>
            </w:r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certain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design, modelling,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simulation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software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depending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their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specialty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FA538E" w:rsidRPr="00FA538E" w:rsidRDefault="00FA538E" w:rsidP="00FA538E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Knowledge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learning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knowledge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acquisition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data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collection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methods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special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fields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environment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protection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their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ethical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limitations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problem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solving</w:t>
            </w:r>
            <w:proofErr w:type="spellEnd"/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techniques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FA538E" w:rsidRPr="00FA538E" w:rsidRDefault="00FA538E" w:rsidP="00FA538E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Comprehensive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knowledge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basic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features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interrelations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environmental</w:t>
            </w:r>
            <w:proofErr w:type="spellEnd"/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elements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systems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well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environmentally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harmful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substances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affecting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FA538E" w:rsidRPr="00FA538E" w:rsidRDefault="00FA538E" w:rsidP="00944532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Knowledge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methodology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regulations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performing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environmental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impact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assessments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compiling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impact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studies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FA538E" w:rsidRPr="00FA538E" w:rsidRDefault="00FA538E" w:rsidP="00FA538E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perform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basic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tests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quantity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quality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characteristics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environmental</w:t>
            </w:r>
            <w:proofErr w:type="spellEnd"/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elements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systems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state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-of-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-art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measuring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instruments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draw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up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implement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measurement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plans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;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evaluate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data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FA538E" w:rsidRPr="00FA538E" w:rsidRDefault="00FA538E" w:rsidP="00FA538E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solve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tasks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water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soil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air,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radiation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noise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protection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well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waste</w:t>
            </w:r>
            <w:proofErr w:type="spellEnd"/>
          </w:p>
          <w:p w:rsidR="00FA538E" w:rsidRPr="00FA538E" w:rsidRDefault="00FA538E" w:rsidP="00FA538E">
            <w:pPr>
              <w:pStyle w:val="Listaszerbekezds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treatment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processing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proposal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level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participate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in preparing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decisions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perform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authority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audits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;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take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part in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operation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these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technologies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FA538E" w:rsidRPr="00FA538E" w:rsidRDefault="00FA538E" w:rsidP="00F26B42">
            <w:pPr>
              <w:pStyle w:val="Listaszerbekezds"/>
              <w:numPr>
                <w:ilvl w:val="0"/>
                <w:numId w:val="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perform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environmental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impact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assessments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participate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compiling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impact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studies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</w:p>
          <w:p w:rsidR="006A1D9E" w:rsidRPr="0000235C" w:rsidRDefault="00FA538E" w:rsidP="00FA538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Able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apply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practice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well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regulations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requirements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health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safety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fire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protection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, and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safety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engineering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related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their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special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color w:val="000000" w:themeColor="text1"/>
                <w:sz w:val="22"/>
                <w:szCs w:val="22"/>
              </w:rPr>
              <w:t>field</w:t>
            </w:r>
            <w:proofErr w:type="spellEnd"/>
            <w:r w:rsidRPr="00FA538E">
              <w:rPr>
                <w:color w:val="000000" w:themeColor="text1"/>
                <w:sz w:val="22"/>
                <w:szCs w:val="22"/>
              </w:rPr>
              <w:t>.</w:t>
            </w:r>
            <w:r w:rsidR="006A1D9E" w:rsidRPr="000023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FA538E" w:rsidP="0039381E">
            <w:pPr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Literature</w:t>
            </w:r>
            <w:proofErr w:type="spellEnd"/>
          </w:p>
        </w:tc>
      </w:tr>
      <w:tr w:rsidR="006A1D9E" w:rsidRPr="0000235C" w:rsidTr="0039381E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pStyle w:val="Listaszerbekezds"/>
              <w:ind w:left="720"/>
              <w:rPr>
                <w:sz w:val="22"/>
                <w:szCs w:val="22"/>
              </w:rPr>
            </w:pPr>
          </w:p>
          <w:p w:rsidR="00AE60D4" w:rsidRPr="00AE60D4" w:rsidRDefault="00AE60D4" w:rsidP="00AE60D4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E60D4">
              <w:rPr>
                <w:sz w:val="22"/>
                <w:szCs w:val="22"/>
              </w:rPr>
              <w:t xml:space="preserve">David Harvey: Modern </w:t>
            </w:r>
            <w:proofErr w:type="spellStart"/>
            <w:r w:rsidRPr="00AE60D4">
              <w:rPr>
                <w:sz w:val="22"/>
                <w:szCs w:val="22"/>
              </w:rPr>
              <w:t>Analytical</w:t>
            </w:r>
            <w:proofErr w:type="spellEnd"/>
            <w:r w:rsidRPr="00AE60D4">
              <w:rPr>
                <w:sz w:val="22"/>
                <w:szCs w:val="22"/>
              </w:rPr>
              <w:t xml:space="preserve"> </w:t>
            </w:r>
            <w:proofErr w:type="spellStart"/>
            <w:r w:rsidRPr="00AE60D4">
              <w:rPr>
                <w:sz w:val="22"/>
                <w:szCs w:val="22"/>
              </w:rPr>
              <w:t>Chemistry</w:t>
            </w:r>
            <w:proofErr w:type="spellEnd"/>
            <w:r w:rsidRPr="00AE60D4">
              <w:rPr>
                <w:sz w:val="22"/>
                <w:szCs w:val="22"/>
              </w:rPr>
              <w:t xml:space="preserve">, </w:t>
            </w:r>
            <w:proofErr w:type="spellStart"/>
            <w:r w:rsidRPr="00AE60D4">
              <w:rPr>
                <w:sz w:val="22"/>
                <w:szCs w:val="22"/>
              </w:rPr>
              <w:t>McGraw</w:t>
            </w:r>
            <w:proofErr w:type="spellEnd"/>
            <w:r w:rsidRPr="00AE60D4">
              <w:rPr>
                <w:sz w:val="22"/>
                <w:szCs w:val="22"/>
              </w:rPr>
              <w:t xml:space="preserve"> Hill, Boston </w:t>
            </w:r>
            <w:proofErr w:type="spellStart"/>
            <w:r w:rsidRPr="00AE60D4">
              <w:rPr>
                <w:sz w:val="22"/>
                <w:szCs w:val="22"/>
              </w:rPr>
              <w:t>Burr</w:t>
            </w:r>
            <w:proofErr w:type="spellEnd"/>
            <w:r w:rsidRPr="00AE60D4">
              <w:rPr>
                <w:sz w:val="22"/>
                <w:szCs w:val="22"/>
              </w:rPr>
              <w:t xml:space="preserve"> </w:t>
            </w:r>
            <w:proofErr w:type="spellStart"/>
            <w:r w:rsidRPr="00AE60D4">
              <w:rPr>
                <w:sz w:val="22"/>
                <w:szCs w:val="22"/>
              </w:rPr>
              <w:t>Ridge</w:t>
            </w:r>
            <w:proofErr w:type="spellEnd"/>
            <w:r w:rsidRPr="00AE60D4">
              <w:rPr>
                <w:sz w:val="22"/>
                <w:szCs w:val="22"/>
              </w:rPr>
              <w:t>, IL</w:t>
            </w:r>
          </w:p>
          <w:p w:rsidR="006A1D9E" w:rsidRDefault="00AE60D4" w:rsidP="00AE60D4">
            <w:pPr>
              <w:pStyle w:val="Listaszerbekezds"/>
              <w:ind w:left="720"/>
              <w:rPr>
                <w:sz w:val="22"/>
                <w:szCs w:val="22"/>
              </w:rPr>
            </w:pPr>
            <w:proofErr w:type="spellStart"/>
            <w:r w:rsidRPr="00AE60D4">
              <w:rPr>
                <w:sz w:val="22"/>
                <w:szCs w:val="22"/>
              </w:rPr>
              <w:t>Dubuque</w:t>
            </w:r>
            <w:proofErr w:type="spellEnd"/>
            <w:r w:rsidRPr="00AE60D4">
              <w:rPr>
                <w:sz w:val="22"/>
                <w:szCs w:val="22"/>
              </w:rPr>
              <w:t xml:space="preserve">, IA </w:t>
            </w:r>
            <w:proofErr w:type="spellStart"/>
            <w:r w:rsidRPr="00AE60D4">
              <w:rPr>
                <w:sz w:val="22"/>
                <w:szCs w:val="22"/>
              </w:rPr>
              <w:t>Madison</w:t>
            </w:r>
            <w:proofErr w:type="spellEnd"/>
            <w:r w:rsidRPr="00AE60D4">
              <w:rPr>
                <w:sz w:val="22"/>
                <w:szCs w:val="22"/>
              </w:rPr>
              <w:t xml:space="preserve">, WI New York, San Francisco, </w:t>
            </w:r>
            <w:proofErr w:type="spellStart"/>
            <w:r w:rsidRPr="00AE60D4">
              <w:rPr>
                <w:sz w:val="22"/>
                <w:szCs w:val="22"/>
              </w:rPr>
              <w:t>St</w:t>
            </w:r>
            <w:proofErr w:type="spellEnd"/>
            <w:r w:rsidRPr="00AE60D4">
              <w:rPr>
                <w:sz w:val="22"/>
                <w:szCs w:val="22"/>
              </w:rPr>
              <w:t>. Louis, Bangkok, Bogotá Caracas,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E60D4">
              <w:rPr>
                <w:sz w:val="22"/>
                <w:szCs w:val="22"/>
              </w:rPr>
              <w:t>Lisbon</w:t>
            </w:r>
            <w:proofErr w:type="spellEnd"/>
            <w:r w:rsidRPr="00AE60D4">
              <w:rPr>
                <w:sz w:val="22"/>
                <w:szCs w:val="22"/>
              </w:rPr>
              <w:t xml:space="preserve">, London, Madrid, </w:t>
            </w:r>
            <w:proofErr w:type="spellStart"/>
            <w:r w:rsidRPr="00AE60D4">
              <w:rPr>
                <w:sz w:val="22"/>
                <w:szCs w:val="22"/>
              </w:rPr>
              <w:t>Mexico</w:t>
            </w:r>
            <w:proofErr w:type="spellEnd"/>
            <w:r w:rsidRPr="00AE60D4">
              <w:rPr>
                <w:sz w:val="22"/>
                <w:szCs w:val="22"/>
              </w:rPr>
              <w:t xml:space="preserve"> City, Milan, New Delhi, </w:t>
            </w:r>
            <w:proofErr w:type="spellStart"/>
            <w:r w:rsidRPr="00AE60D4">
              <w:rPr>
                <w:sz w:val="22"/>
                <w:szCs w:val="22"/>
              </w:rPr>
              <w:t>Seoul</w:t>
            </w:r>
            <w:proofErr w:type="spellEnd"/>
            <w:r w:rsidRPr="00AE60D4">
              <w:rPr>
                <w:sz w:val="22"/>
                <w:szCs w:val="22"/>
              </w:rPr>
              <w:t>, Singapore, Sydney,</w:t>
            </w:r>
            <w:r>
              <w:rPr>
                <w:sz w:val="22"/>
                <w:szCs w:val="22"/>
              </w:rPr>
              <w:t xml:space="preserve"> </w:t>
            </w:r>
            <w:r w:rsidRPr="00AE60D4">
              <w:rPr>
                <w:sz w:val="22"/>
                <w:szCs w:val="22"/>
              </w:rPr>
              <w:t>Taipei, Toronto, 2000</w:t>
            </w:r>
            <w:r w:rsidRPr="00AE60D4">
              <w:rPr>
                <w:sz w:val="22"/>
                <w:szCs w:val="22"/>
              </w:rPr>
              <w:t xml:space="preserve"> </w:t>
            </w:r>
          </w:p>
          <w:p w:rsidR="00AE60D4" w:rsidRDefault="00AE60D4" w:rsidP="00AE60D4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AE60D4">
              <w:rPr>
                <w:sz w:val="22"/>
                <w:szCs w:val="22"/>
              </w:rPr>
              <w:t>Gary</w:t>
            </w:r>
            <w:proofErr w:type="spellEnd"/>
            <w:r w:rsidRPr="00AE60D4">
              <w:rPr>
                <w:sz w:val="22"/>
                <w:szCs w:val="22"/>
              </w:rPr>
              <w:t xml:space="preserve"> D. Christian: </w:t>
            </w:r>
            <w:proofErr w:type="spellStart"/>
            <w:r w:rsidRPr="00AE60D4">
              <w:rPr>
                <w:sz w:val="22"/>
                <w:szCs w:val="22"/>
              </w:rPr>
              <w:t>Analytical</w:t>
            </w:r>
            <w:proofErr w:type="spellEnd"/>
            <w:r w:rsidRPr="00AE60D4">
              <w:rPr>
                <w:sz w:val="22"/>
                <w:szCs w:val="22"/>
              </w:rPr>
              <w:t xml:space="preserve"> </w:t>
            </w:r>
            <w:proofErr w:type="spellStart"/>
            <w:r w:rsidRPr="00AE60D4">
              <w:rPr>
                <w:sz w:val="22"/>
                <w:szCs w:val="22"/>
              </w:rPr>
              <w:t>Chemistry</w:t>
            </w:r>
            <w:proofErr w:type="spellEnd"/>
            <w:r w:rsidRPr="00AE60D4">
              <w:rPr>
                <w:sz w:val="22"/>
                <w:szCs w:val="22"/>
              </w:rPr>
              <w:t xml:space="preserve">, John </w:t>
            </w:r>
            <w:proofErr w:type="spellStart"/>
            <w:r w:rsidRPr="00AE60D4">
              <w:rPr>
                <w:sz w:val="22"/>
                <w:szCs w:val="22"/>
              </w:rPr>
              <w:t>Wiley</w:t>
            </w:r>
            <w:proofErr w:type="spellEnd"/>
            <w:r w:rsidRPr="00AE60D4">
              <w:rPr>
                <w:sz w:val="22"/>
                <w:szCs w:val="22"/>
              </w:rPr>
              <w:t xml:space="preserve"> and </w:t>
            </w:r>
            <w:proofErr w:type="spellStart"/>
            <w:r w:rsidRPr="00AE60D4">
              <w:rPr>
                <w:sz w:val="22"/>
                <w:szCs w:val="22"/>
              </w:rPr>
              <w:t>Sons</w:t>
            </w:r>
            <w:proofErr w:type="spellEnd"/>
            <w:r w:rsidRPr="00AE60D4">
              <w:rPr>
                <w:sz w:val="22"/>
                <w:szCs w:val="22"/>
              </w:rPr>
              <w:t xml:space="preserve"> Inc</w:t>
            </w:r>
            <w:proofErr w:type="gramStart"/>
            <w:r w:rsidRPr="00AE60D4">
              <w:rPr>
                <w:sz w:val="22"/>
                <w:szCs w:val="22"/>
              </w:rPr>
              <w:t>.,</w:t>
            </w:r>
            <w:proofErr w:type="gramEnd"/>
            <w:r w:rsidRPr="00AE60D4">
              <w:rPr>
                <w:sz w:val="22"/>
                <w:szCs w:val="22"/>
              </w:rPr>
              <w:t xml:space="preserve"> 2004</w:t>
            </w:r>
          </w:p>
          <w:p w:rsidR="00FA538E" w:rsidRPr="00FA538E" w:rsidRDefault="00FA538E" w:rsidP="00FA538E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A538E">
              <w:rPr>
                <w:sz w:val="22"/>
                <w:szCs w:val="22"/>
              </w:rPr>
              <w:t xml:space="preserve">Edited </w:t>
            </w:r>
            <w:proofErr w:type="spellStart"/>
            <w:r w:rsidRPr="00FA538E">
              <w:rPr>
                <w:sz w:val="22"/>
                <w:szCs w:val="22"/>
              </w:rPr>
              <w:t>by</w:t>
            </w:r>
            <w:proofErr w:type="spellEnd"/>
            <w:r w:rsidRPr="00FA538E">
              <w:rPr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sz w:val="22"/>
                <w:szCs w:val="22"/>
              </w:rPr>
              <w:t>Ira</w:t>
            </w:r>
            <w:proofErr w:type="spellEnd"/>
            <w:r w:rsidRPr="00FA538E">
              <w:rPr>
                <w:sz w:val="22"/>
                <w:szCs w:val="22"/>
              </w:rPr>
              <w:t xml:space="preserve"> S. </w:t>
            </w:r>
            <w:proofErr w:type="spellStart"/>
            <w:r w:rsidRPr="00FA538E">
              <w:rPr>
                <w:sz w:val="22"/>
                <w:szCs w:val="22"/>
              </w:rPr>
              <w:t>Krull</w:t>
            </w:r>
            <w:proofErr w:type="spellEnd"/>
            <w:r w:rsidRPr="00FA538E">
              <w:rPr>
                <w:sz w:val="22"/>
                <w:szCs w:val="22"/>
              </w:rPr>
              <w:t xml:space="preserve">: </w:t>
            </w:r>
            <w:proofErr w:type="spellStart"/>
            <w:r w:rsidRPr="00FA538E">
              <w:rPr>
                <w:sz w:val="22"/>
                <w:szCs w:val="22"/>
              </w:rPr>
              <w:t>Analytical</w:t>
            </w:r>
            <w:proofErr w:type="spellEnd"/>
            <w:r w:rsidRPr="00FA538E">
              <w:rPr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sz w:val="22"/>
                <w:szCs w:val="22"/>
              </w:rPr>
              <w:t>Chemistry</w:t>
            </w:r>
            <w:proofErr w:type="spellEnd"/>
            <w:r w:rsidRPr="00FA538E">
              <w:rPr>
                <w:sz w:val="22"/>
                <w:szCs w:val="22"/>
              </w:rPr>
              <w:t xml:space="preserve">, ISBN 978-953-51-0837-5, 154 </w:t>
            </w:r>
            <w:proofErr w:type="spellStart"/>
            <w:r w:rsidRPr="00FA538E">
              <w:rPr>
                <w:sz w:val="22"/>
                <w:szCs w:val="22"/>
              </w:rPr>
              <w:t>pages</w:t>
            </w:r>
            <w:proofErr w:type="spellEnd"/>
            <w:r w:rsidRPr="00FA538E">
              <w:rPr>
                <w:sz w:val="22"/>
                <w:szCs w:val="22"/>
              </w:rPr>
              <w:t>,</w:t>
            </w:r>
          </w:p>
          <w:p w:rsidR="00FA538E" w:rsidRPr="00FA538E" w:rsidRDefault="00FA538E" w:rsidP="00FA538E">
            <w:pPr>
              <w:pStyle w:val="Listaszerbekezds"/>
              <w:ind w:left="720"/>
              <w:rPr>
                <w:sz w:val="22"/>
                <w:szCs w:val="22"/>
              </w:rPr>
            </w:pPr>
            <w:r w:rsidRPr="00FA538E">
              <w:rPr>
                <w:sz w:val="22"/>
                <w:szCs w:val="22"/>
              </w:rPr>
              <w:t xml:space="preserve">Publisher: </w:t>
            </w:r>
            <w:proofErr w:type="spellStart"/>
            <w:r w:rsidRPr="00FA538E">
              <w:rPr>
                <w:sz w:val="22"/>
                <w:szCs w:val="22"/>
              </w:rPr>
              <w:t>InTech</w:t>
            </w:r>
            <w:proofErr w:type="spellEnd"/>
            <w:r w:rsidRPr="00FA538E">
              <w:rPr>
                <w:sz w:val="22"/>
                <w:szCs w:val="22"/>
              </w:rPr>
              <w:t xml:space="preserve">, </w:t>
            </w:r>
            <w:proofErr w:type="spellStart"/>
            <w:r w:rsidRPr="00FA538E">
              <w:rPr>
                <w:sz w:val="22"/>
                <w:szCs w:val="22"/>
              </w:rPr>
              <w:t>Chapters</w:t>
            </w:r>
            <w:proofErr w:type="spellEnd"/>
            <w:r w:rsidRPr="00FA538E">
              <w:rPr>
                <w:sz w:val="22"/>
                <w:szCs w:val="22"/>
              </w:rPr>
              <w:t xml:space="preserve"> </w:t>
            </w:r>
            <w:proofErr w:type="spellStart"/>
            <w:r w:rsidRPr="00FA538E">
              <w:rPr>
                <w:sz w:val="22"/>
                <w:szCs w:val="22"/>
              </w:rPr>
              <w:t>published</w:t>
            </w:r>
            <w:proofErr w:type="spellEnd"/>
            <w:r w:rsidRPr="00FA538E">
              <w:rPr>
                <w:sz w:val="22"/>
                <w:szCs w:val="22"/>
              </w:rPr>
              <w:t xml:space="preserve"> November 07, 2012 </w:t>
            </w:r>
            <w:proofErr w:type="spellStart"/>
            <w:r w:rsidRPr="00FA538E">
              <w:rPr>
                <w:sz w:val="22"/>
                <w:szCs w:val="22"/>
              </w:rPr>
              <w:t>under</w:t>
            </w:r>
            <w:proofErr w:type="spellEnd"/>
            <w:r w:rsidRPr="00FA538E">
              <w:rPr>
                <w:sz w:val="22"/>
                <w:szCs w:val="22"/>
              </w:rPr>
              <w:t xml:space="preserve"> CC BY 3.0 </w:t>
            </w:r>
            <w:proofErr w:type="spellStart"/>
            <w:r w:rsidRPr="00FA538E">
              <w:rPr>
                <w:sz w:val="22"/>
                <w:szCs w:val="22"/>
              </w:rPr>
              <w:t>license</w:t>
            </w:r>
            <w:proofErr w:type="spellEnd"/>
          </w:p>
          <w:p w:rsidR="00AE60D4" w:rsidRDefault="00FA538E" w:rsidP="00FA538E">
            <w:pPr>
              <w:pStyle w:val="Listaszerbekezds"/>
              <w:ind w:left="720"/>
              <w:rPr>
                <w:sz w:val="22"/>
                <w:szCs w:val="22"/>
              </w:rPr>
            </w:pPr>
            <w:r w:rsidRPr="00FA538E">
              <w:rPr>
                <w:sz w:val="22"/>
                <w:szCs w:val="22"/>
              </w:rPr>
              <w:t>DOI: 10.5772/3086</w:t>
            </w:r>
          </w:p>
          <w:p w:rsidR="00AE60D4" w:rsidRPr="0000235C" w:rsidRDefault="00AE60D4" w:rsidP="00AE60D4">
            <w:pPr>
              <w:pStyle w:val="Listaszerbekezds"/>
              <w:ind w:left="720"/>
              <w:rPr>
                <w:sz w:val="22"/>
                <w:szCs w:val="22"/>
              </w:rPr>
            </w:pPr>
          </w:p>
        </w:tc>
      </w:tr>
    </w:tbl>
    <w:p w:rsidR="006A1D9E" w:rsidRDefault="006A1D9E" w:rsidP="006A1D9E"/>
    <w:p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9E"/>
    <w:rsid w:val="00127C97"/>
    <w:rsid w:val="006A1D9E"/>
    <w:rsid w:val="008957EA"/>
    <w:rsid w:val="0090672C"/>
    <w:rsid w:val="00AE60D4"/>
    <w:rsid w:val="00B142B8"/>
    <w:rsid w:val="00B41893"/>
    <w:rsid w:val="00CF1B64"/>
    <w:rsid w:val="00D70EF7"/>
    <w:rsid w:val="00D92841"/>
    <w:rsid w:val="00D93404"/>
    <w:rsid w:val="00E77FE5"/>
    <w:rsid w:val="00F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9420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860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Dr. Ágoston Csaba</cp:lastModifiedBy>
  <cp:revision>5</cp:revision>
  <dcterms:created xsi:type="dcterms:W3CDTF">2025-09-07T12:47:00Z</dcterms:created>
  <dcterms:modified xsi:type="dcterms:W3CDTF">2025-09-07T13:40:00Z</dcterms:modified>
</cp:coreProperties>
</file>