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
        <w:gridCol w:w="849"/>
        <w:gridCol w:w="37"/>
        <w:gridCol w:w="1025"/>
        <w:gridCol w:w="41"/>
        <w:gridCol w:w="227"/>
        <w:gridCol w:w="567"/>
        <w:gridCol w:w="709"/>
        <w:gridCol w:w="609"/>
        <w:gridCol w:w="567"/>
        <w:gridCol w:w="32"/>
        <w:gridCol w:w="682"/>
        <w:gridCol w:w="849"/>
        <w:gridCol w:w="10"/>
        <w:gridCol w:w="557"/>
        <w:gridCol w:w="152"/>
        <w:gridCol w:w="610"/>
        <w:gridCol w:w="372"/>
        <w:gridCol w:w="160"/>
        <w:gridCol w:w="133"/>
        <w:gridCol w:w="447"/>
        <w:gridCol w:w="275"/>
        <w:gridCol w:w="261"/>
        <w:gridCol w:w="639"/>
      </w:tblGrid>
      <w:tr w:rsidR="00850CC0" w:rsidRPr="00960FF5" w14:paraId="6CBF6F11" w14:textId="77777777" w:rsidTr="008A74BC">
        <w:trPr>
          <w:cantSplit/>
          <w:jc w:val="center"/>
        </w:trPr>
        <w:tc>
          <w:tcPr>
            <w:tcW w:w="10547" w:type="dxa"/>
            <w:gridSpan w:val="24"/>
            <w:tcBorders>
              <w:top w:val="single" w:sz="12" w:space="0" w:color="auto"/>
            </w:tcBorders>
            <w:shd w:val="clear" w:color="auto" w:fill="C0C0C0"/>
            <w:vAlign w:val="center"/>
          </w:tcPr>
          <w:p w14:paraId="0E5BA46C" w14:textId="467E25DA" w:rsidR="00850CC0" w:rsidRPr="00960FF5" w:rsidRDefault="00C750F4">
            <w:pPr>
              <w:pStyle w:val="Cmsor1"/>
              <w:rPr>
                <w:b/>
                <w:bCs/>
                <w:lang w:val="en-GB"/>
              </w:rPr>
            </w:pPr>
            <w:r w:rsidRPr="00960FF5">
              <w:rPr>
                <w:b/>
                <w:bCs/>
                <w:lang w:val="en-GB"/>
              </w:rPr>
              <w:t xml:space="preserve">  </w:t>
            </w:r>
            <w:proofErr w:type="spellStart"/>
            <w:r w:rsidR="00850CC0" w:rsidRPr="00960FF5">
              <w:rPr>
                <w:b/>
                <w:bCs/>
                <w:lang w:val="en-GB"/>
              </w:rPr>
              <w:t>Óbudai</w:t>
            </w:r>
            <w:proofErr w:type="spellEnd"/>
            <w:r w:rsidR="00850CC0" w:rsidRPr="00960FF5">
              <w:rPr>
                <w:b/>
                <w:bCs/>
                <w:lang w:val="en-GB"/>
              </w:rPr>
              <w:t xml:space="preserve"> </w:t>
            </w:r>
            <w:proofErr w:type="spellStart"/>
            <w:r w:rsidR="00850CC0" w:rsidRPr="00960FF5">
              <w:rPr>
                <w:b/>
                <w:bCs/>
                <w:lang w:val="en-GB"/>
              </w:rPr>
              <w:t>Egyetem</w:t>
            </w:r>
            <w:proofErr w:type="spellEnd"/>
          </w:p>
        </w:tc>
      </w:tr>
      <w:tr w:rsidR="00850CC0" w:rsidRPr="00960FF5" w14:paraId="32BFDB0A" w14:textId="77777777" w:rsidTr="00383855">
        <w:trPr>
          <w:cantSplit/>
          <w:jc w:val="center"/>
        </w:trPr>
        <w:tc>
          <w:tcPr>
            <w:tcW w:w="4801" w:type="dxa"/>
            <w:gridSpan w:val="9"/>
            <w:vAlign w:val="center"/>
          </w:tcPr>
          <w:p w14:paraId="0714C2FC" w14:textId="77777777" w:rsidR="00850CC0" w:rsidRPr="00960FF5" w:rsidRDefault="00850CC0">
            <w:pPr>
              <w:jc w:val="right"/>
              <w:rPr>
                <w:lang w:val="en-GB"/>
              </w:rPr>
            </w:pPr>
            <w:r w:rsidRPr="00960FF5">
              <w:rPr>
                <w:lang w:val="en-GB"/>
              </w:rPr>
              <w:t xml:space="preserve">Rejtő Sándor </w:t>
            </w:r>
            <w:proofErr w:type="spellStart"/>
            <w:r w:rsidRPr="00960FF5">
              <w:rPr>
                <w:lang w:val="en-GB"/>
              </w:rPr>
              <w:t>Könnyűipari</w:t>
            </w:r>
            <w:proofErr w:type="spellEnd"/>
            <w:r w:rsidRPr="00960FF5">
              <w:rPr>
                <w:lang w:val="en-GB"/>
              </w:rPr>
              <w:t xml:space="preserve"> </w:t>
            </w:r>
            <w:proofErr w:type="spellStart"/>
            <w:r w:rsidRPr="00960FF5">
              <w:rPr>
                <w:lang w:val="en-GB"/>
              </w:rPr>
              <w:t>és</w:t>
            </w:r>
            <w:proofErr w:type="spellEnd"/>
            <w:r w:rsidRPr="00960FF5">
              <w:rPr>
                <w:lang w:val="en-GB"/>
              </w:rPr>
              <w:t xml:space="preserve"> </w:t>
            </w:r>
            <w:proofErr w:type="spellStart"/>
            <w:r w:rsidRPr="00960FF5">
              <w:rPr>
                <w:lang w:val="en-GB"/>
              </w:rPr>
              <w:t>Környezetmérnöki</w:t>
            </w:r>
            <w:proofErr w:type="spellEnd"/>
            <w:r w:rsidRPr="00960FF5">
              <w:rPr>
                <w:lang w:val="en-GB"/>
              </w:rPr>
              <w:t xml:space="preserve"> </w:t>
            </w:r>
          </w:p>
        </w:tc>
        <w:tc>
          <w:tcPr>
            <w:tcW w:w="567" w:type="dxa"/>
            <w:shd w:val="clear" w:color="auto" w:fill="C0C0C0"/>
            <w:vAlign w:val="center"/>
          </w:tcPr>
          <w:p w14:paraId="4288EEED" w14:textId="77777777" w:rsidR="00850CC0" w:rsidRPr="00960FF5" w:rsidRDefault="00850CC0">
            <w:pPr>
              <w:pStyle w:val="Tblzatcmke"/>
              <w:jc w:val="left"/>
              <w:rPr>
                <w:lang w:val="en-GB"/>
              </w:rPr>
            </w:pPr>
            <w:r w:rsidRPr="00960FF5">
              <w:rPr>
                <w:lang w:val="en-GB"/>
              </w:rPr>
              <w:t>Kar</w:t>
            </w:r>
          </w:p>
        </w:tc>
        <w:tc>
          <w:tcPr>
            <w:tcW w:w="4279" w:type="dxa"/>
            <w:gridSpan w:val="12"/>
            <w:vAlign w:val="center"/>
          </w:tcPr>
          <w:p w14:paraId="1A42C87A" w14:textId="6B76147C" w:rsidR="00850CC0" w:rsidRPr="00960FF5" w:rsidRDefault="00383855" w:rsidP="00383855">
            <w:pPr>
              <w:ind w:right="205"/>
              <w:rPr>
                <w:bCs w:val="0"/>
                <w:lang w:val="en-GB"/>
              </w:rPr>
            </w:pPr>
            <w:proofErr w:type="spellStart"/>
            <w:r w:rsidRPr="00960FF5">
              <w:rPr>
                <w:bCs w:val="0"/>
                <w:sz w:val="18"/>
                <w:szCs w:val="18"/>
                <w:lang w:val="en-GB"/>
              </w:rPr>
              <w:t>Környezetmérnöki</w:t>
            </w:r>
            <w:proofErr w:type="spellEnd"/>
            <w:r w:rsidRPr="00960FF5">
              <w:rPr>
                <w:bCs w:val="0"/>
                <w:sz w:val="18"/>
                <w:szCs w:val="18"/>
                <w:lang w:val="en-GB"/>
              </w:rPr>
              <w:t xml:space="preserve"> </w:t>
            </w:r>
            <w:proofErr w:type="spellStart"/>
            <w:r w:rsidRPr="00960FF5">
              <w:rPr>
                <w:rFonts w:ascii="Ariel" w:hAnsi="Ariel"/>
                <w:bCs w:val="0"/>
                <w:sz w:val="18"/>
                <w:szCs w:val="18"/>
                <w:lang w:val="en-GB"/>
              </w:rPr>
              <w:t>és</w:t>
            </w:r>
            <w:proofErr w:type="spellEnd"/>
            <w:r w:rsidRPr="00960FF5">
              <w:rPr>
                <w:rFonts w:ascii="Ariel" w:hAnsi="Ariel"/>
                <w:bCs w:val="0"/>
                <w:lang w:val="en-GB"/>
              </w:rPr>
              <w:t xml:space="preserve"> </w:t>
            </w:r>
            <w:proofErr w:type="spellStart"/>
            <w:r w:rsidRPr="00960FF5">
              <w:rPr>
                <w:rFonts w:ascii="Ariel" w:hAnsi="Ariel"/>
                <w:bCs w:val="0"/>
                <w:lang w:val="en-GB"/>
              </w:rPr>
              <w:t>Természettudományi</w:t>
            </w:r>
            <w:proofErr w:type="spellEnd"/>
          </w:p>
        </w:tc>
        <w:tc>
          <w:tcPr>
            <w:tcW w:w="900" w:type="dxa"/>
            <w:gridSpan w:val="2"/>
            <w:shd w:val="clear" w:color="auto" w:fill="C0C0C0"/>
            <w:vAlign w:val="center"/>
          </w:tcPr>
          <w:p w14:paraId="0F11A3A6" w14:textId="77777777" w:rsidR="00850CC0" w:rsidRPr="00960FF5" w:rsidRDefault="00850CC0">
            <w:pPr>
              <w:pStyle w:val="Tblzatcmke"/>
              <w:jc w:val="both"/>
              <w:rPr>
                <w:i w:val="0"/>
                <w:iCs w:val="0"/>
                <w:lang w:val="en-GB"/>
              </w:rPr>
            </w:pPr>
            <w:proofErr w:type="spellStart"/>
            <w:r w:rsidRPr="00960FF5">
              <w:rPr>
                <w:lang w:val="en-GB"/>
              </w:rPr>
              <w:t>Intézet</w:t>
            </w:r>
            <w:proofErr w:type="spellEnd"/>
          </w:p>
        </w:tc>
      </w:tr>
      <w:tr w:rsidR="00FE04E7" w:rsidRPr="00960FF5" w14:paraId="2C7726CE" w14:textId="77777777" w:rsidTr="00383855">
        <w:trPr>
          <w:cantSplit/>
          <w:jc w:val="center"/>
        </w:trPr>
        <w:tc>
          <w:tcPr>
            <w:tcW w:w="2648" w:type="dxa"/>
            <w:gridSpan w:val="4"/>
            <w:shd w:val="clear" w:color="auto" w:fill="C0C0C0"/>
            <w:vAlign w:val="center"/>
          </w:tcPr>
          <w:p w14:paraId="0542F045" w14:textId="77777777" w:rsidR="00FE04E7" w:rsidRPr="00960FF5" w:rsidRDefault="00FE04E7" w:rsidP="00FE04E7">
            <w:pPr>
              <w:pStyle w:val="Tblzatcmke"/>
              <w:rPr>
                <w:lang w:val="en-GB"/>
              </w:rPr>
            </w:pPr>
            <w:proofErr w:type="spellStart"/>
            <w:r w:rsidRPr="00960FF5">
              <w:rPr>
                <w:lang w:val="en-GB"/>
              </w:rPr>
              <w:t>Tantárgy</w:t>
            </w:r>
            <w:proofErr w:type="spellEnd"/>
            <w:r w:rsidRPr="00960FF5">
              <w:rPr>
                <w:lang w:val="en-GB"/>
              </w:rPr>
              <w:t xml:space="preserve"> neve:</w:t>
            </w:r>
          </w:p>
        </w:tc>
        <w:tc>
          <w:tcPr>
            <w:tcW w:w="5002" w:type="dxa"/>
            <w:gridSpan w:val="12"/>
            <w:shd w:val="clear" w:color="auto" w:fill="FFFFFF"/>
            <w:vAlign w:val="center"/>
          </w:tcPr>
          <w:p w14:paraId="74082E2D" w14:textId="0A34811B" w:rsidR="00FE04E7" w:rsidRPr="00960FF5" w:rsidRDefault="00FE04E7" w:rsidP="00FE04E7">
            <w:pPr>
              <w:rPr>
                <w:bCs w:val="0"/>
                <w:lang w:val="en-GB"/>
              </w:rPr>
            </w:pPr>
            <w:proofErr w:type="spellStart"/>
            <w:r w:rsidRPr="00960FF5">
              <w:rPr>
                <w:bCs w:val="0"/>
                <w:sz w:val="18"/>
                <w:szCs w:val="18"/>
                <w:lang w:val="en-GB"/>
              </w:rPr>
              <w:t>Környezet</w:t>
            </w:r>
            <w:r w:rsidR="0090545B" w:rsidRPr="00960FF5">
              <w:rPr>
                <w:bCs w:val="0"/>
                <w:sz w:val="18"/>
                <w:szCs w:val="18"/>
                <w:lang w:val="en-GB"/>
              </w:rPr>
              <w:t>gazdálkodás</w:t>
            </w:r>
            <w:proofErr w:type="spellEnd"/>
            <w:r w:rsidR="0090545B" w:rsidRPr="00960FF5">
              <w:rPr>
                <w:bCs w:val="0"/>
                <w:sz w:val="18"/>
                <w:szCs w:val="18"/>
                <w:lang w:val="en-GB"/>
              </w:rPr>
              <w:t xml:space="preserve"> </w:t>
            </w:r>
            <w:proofErr w:type="spellStart"/>
            <w:r w:rsidR="0090545B" w:rsidRPr="00960FF5">
              <w:rPr>
                <w:bCs w:val="0"/>
                <w:sz w:val="18"/>
                <w:szCs w:val="18"/>
                <w:lang w:val="en-GB"/>
              </w:rPr>
              <w:t>és</w:t>
            </w:r>
            <w:proofErr w:type="spellEnd"/>
            <w:r w:rsidR="0090545B" w:rsidRPr="00960FF5">
              <w:rPr>
                <w:bCs w:val="0"/>
                <w:sz w:val="18"/>
                <w:szCs w:val="18"/>
                <w:lang w:val="en-GB"/>
              </w:rPr>
              <w:t xml:space="preserve"> </w:t>
            </w:r>
            <w:proofErr w:type="spellStart"/>
            <w:r w:rsidRPr="00960FF5">
              <w:rPr>
                <w:bCs w:val="0"/>
                <w:sz w:val="18"/>
                <w:szCs w:val="18"/>
                <w:lang w:val="en-GB"/>
              </w:rPr>
              <w:t>hatásvizsgálat</w:t>
            </w:r>
            <w:proofErr w:type="spellEnd"/>
          </w:p>
        </w:tc>
        <w:tc>
          <w:tcPr>
            <w:tcW w:w="1275" w:type="dxa"/>
            <w:gridSpan w:val="4"/>
            <w:shd w:val="clear" w:color="auto" w:fill="C0C0C0"/>
            <w:vAlign w:val="center"/>
          </w:tcPr>
          <w:p w14:paraId="78E06D81" w14:textId="77777777" w:rsidR="00FE04E7" w:rsidRPr="00960FF5" w:rsidRDefault="00FE04E7" w:rsidP="00FE04E7">
            <w:pPr>
              <w:pStyle w:val="Tblzatcmke"/>
              <w:rPr>
                <w:lang w:val="en-GB"/>
              </w:rPr>
            </w:pPr>
            <w:r w:rsidRPr="00960FF5">
              <w:rPr>
                <w:lang w:val="en-GB"/>
              </w:rPr>
              <w:t xml:space="preserve">Neptun </w:t>
            </w:r>
            <w:proofErr w:type="spellStart"/>
            <w:r w:rsidRPr="00960FF5">
              <w:rPr>
                <w:lang w:val="en-GB"/>
              </w:rPr>
              <w:t>kód</w:t>
            </w:r>
            <w:proofErr w:type="spellEnd"/>
            <w:r w:rsidRPr="00960FF5">
              <w:rPr>
                <w:lang w:val="en-GB"/>
              </w:rPr>
              <w:t>:</w:t>
            </w:r>
          </w:p>
        </w:tc>
        <w:tc>
          <w:tcPr>
            <w:tcW w:w="1622" w:type="dxa"/>
            <w:gridSpan w:val="4"/>
            <w:shd w:val="clear" w:color="auto" w:fill="FFFFFF"/>
            <w:vAlign w:val="center"/>
          </w:tcPr>
          <w:p w14:paraId="54D5E320" w14:textId="23A4AA6B" w:rsidR="00FE04E7" w:rsidRPr="00960FF5" w:rsidRDefault="00FE04E7" w:rsidP="00FE04E7">
            <w:pPr>
              <w:rPr>
                <w:lang w:val="en-GB"/>
              </w:rPr>
            </w:pPr>
            <w:r w:rsidRPr="00960FF5">
              <w:rPr>
                <w:lang w:val="en-GB" w:eastAsia="en-GB"/>
              </w:rPr>
              <w:t>RKX</w:t>
            </w:r>
            <w:r w:rsidR="0090545B" w:rsidRPr="00960FF5">
              <w:rPr>
                <w:lang w:val="en-GB" w:eastAsia="en-GB"/>
              </w:rPr>
              <w:t>KH</w:t>
            </w:r>
            <w:r w:rsidRPr="00960FF5">
              <w:rPr>
                <w:lang w:val="en-GB" w:eastAsia="en-GB"/>
              </w:rPr>
              <w:t>1</w:t>
            </w:r>
            <w:r w:rsidR="00375896" w:rsidRPr="00960FF5">
              <w:rPr>
                <w:lang w:val="en-GB" w:eastAsia="en-GB"/>
              </w:rPr>
              <w:t>E</w:t>
            </w:r>
            <w:r w:rsidRPr="00960FF5">
              <w:rPr>
                <w:lang w:val="en-GB" w:eastAsia="en-GB"/>
              </w:rPr>
              <w:t>BN</w:t>
            </w:r>
            <w:r w:rsidR="0090545B" w:rsidRPr="00960FF5">
              <w:rPr>
                <w:lang w:val="en-GB" w:eastAsia="en-GB"/>
              </w:rPr>
              <w:t>F</w:t>
            </w:r>
          </w:p>
        </w:tc>
      </w:tr>
      <w:tr w:rsidR="00FE04E7" w:rsidRPr="00960FF5" w14:paraId="05D12E28" w14:textId="77777777" w:rsidTr="00383855">
        <w:trPr>
          <w:cantSplit/>
          <w:jc w:val="center"/>
        </w:trPr>
        <w:tc>
          <w:tcPr>
            <w:tcW w:w="2648" w:type="dxa"/>
            <w:gridSpan w:val="4"/>
            <w:shd w:val="clear" w:color="auto" w:fill="C0C0C0"/>
            <w:vAlign w:val="center"/>
          </w:tcPr>
          <w:p w14:paraId="7218810D" w14:textId="77777777" w:rsidR="00FE04E7" w:rsidRPr="00960FF5" w:rsidRDefault="00FE04E7" w:rsidP="00FE04E7">
            <w:pPr>
              <w:pStyle w:val="Tblzatcmke"/>
              <w:rPr>
                <w:lang w:val="en-GB"/>
              </w:rPr>
            </w:pPr>
            <w:proofErr w:type="spellStart"/>
            <w:r w:rsidRPr="00960FF5">
              <w:rPr>
                <w:lang w:val="en-GB"/>
              </w:rPr>
              <w:t>Tantárgy</w:t>
            </w:r>
            <w:proofErr w:type="spellEnd"/>
            <w:r w:rsidRPr="00960FF5">
              <w:rPr>
                <w:lang w:val="en-GB"/>
              </w:rPr>
              <w:t xml:space="preserve"> neve </w:t>
            </w:r>
            <w:proofErr w:type="spellStart"/>
            <w:r w:rsidRPr="00960FF5">
              <w:rPr>
                <w:lang w:val="en-GB"/>
              </w:rPr>
              <w:t>angolul</w:t>
            </w:r>
            <w:proofErr w:type="spellEnd"/>
            <w:r w:rsidRPr="00960FF5">
              <w:rPr>
                <w:lang w:val="en-GB"/>
              </w:rPr>
              <w:t>:</w:t>
            </w:r>
          </w:p>
        </w:tc>
        <w:tc>
          <w:tcPr>
            <w:tcW w:w="5002" w:type="dxa"/>
            <w:gridSpan w:val="12"/>
            <w:shd w:val="clear" w:color="auto" w:fill="FFFFFF"/>
            <w:vAlign w:val="center"/>
          </w:tcPr>
          <w:p w14:paraId="311BD638" w14:textId="4596D252" w:rsidR="00FE04E7" w:rsidRPr="00960FF5" w:rsidRDefault="006748D6" w:rsidP="00FE04E7">
            <w:pPr>
              <w:rPr>
                <w:bCs w:val="0"/>
                <w:lang w:val="en-GB"/>
              </w:rPr>
            </w:pPr>
            <w:r w:rsidRPr="00960FF5">
              <w:rPr>
                <w:bCs w:val="0"/>
                <w:sz w:val="18"/>
                <w:szCs w:val="18"/>
                <w:lang w:val="en-GB"/>
              </w:rPr>
              <w:t>Environmental</w:t>
            </w:r>
            <w:r w:rsidR="0090545B" w:rsidRPr="00960FF5">
              <w:rPr>
                <w:bCs w:val="0"/>
                <w:sz w:val="18"/>
                <w:szCs w:val="18"/>
                <w:lang w:val="en-GB"/>
              </w:rPr>
              <w:t xml:space="preserve"> Management and</w:t>
            </w:r>
            <w:r w:rsidRPr="00960FF5">
              <w:rPr>
                <w:bCs w:val="0"/>
                <w:sz w:val="18"/>
                <w:szCs w:val="18"/>
                <w:lang w:val="en-GB"/>
              </w:rPr>
              <w:t xml:space="preserve"> Impact Assessment</w:t>
            </w:r>
          </w:p>
        </w:tc>
        <w:tc>
          <w:tcPr>
            <w:tcW w:w="1275" w:type="dxa"/>
            <w:gridSpan w:val="4"/>
            <w:shd w:val="clear" w:color="auto" w:fill="C0C0C0"/>
            <w:vAlign w:val="center"/>
          </w:tcPr>
          <w:p w14:paraId="13F5FDFC" w14:textId="77777777" w:rsidR="00FE04E7" w:rsidRPr="00960FF5" w:rsidRDefault="00FE04E7" w:rsidP="00FE04E7">
            <w:pPr>
              <w:pStyle w:val="Tblzatcmke"/>
              <w:rPr>
                <w:lang w:val="en-GB"/>
              </w:rPr>
            </w:pPr>
            <w:proofErr w:type="spellStart"/>
            <w:r w:rsidRPr="00960FF5">
              <w:rPr>
                <w:lang w:val="en-GB"/>
              </w:rPr>
              <w:t>Kredit</w:t>
            </w:r>
            <w:proofErr w:type="spellEnd"/>
            <w:r w:rsidRPr="00960FF5">
              <w:rPr>
                <w:lang w:val="en-GB"/>
              </w:rPr>
              <w:t xml:space="preserve">: </w:t>
            </w:r>
          </w:p>
        </w:tc>
        <w:tc>
          <w:tcPr>
            <w:tcW w:w="1622" w:type="dxa"/>
            <w:gridSpan w:val="4"/>
            <w:shd w:val="clear" w:color="auto" w:fill="FFFFFF"/>
            <w:vAlign w:val="center"/>
          </w:tcPr>
          <w:p w14:paraId="5F1D65A4" w14:textId="57BABCEB" w:rsidR="00FE04E7" w:rsidRPr="00960FF5" w:rsidRDefault="00FE04E7" w:rsidP="00FE04E7">
            <w:pPr>
              <w:rPr>
                <w:lang w:val="en-GB"/>
              </w:rPr>
            </w:pPr>
            <w:r w:rsidRPr="00960FF5">
              <w:rPr>
                <w:lang w:val="en-GB"/>
              </w:rPr>
              <w:t>4</w:t>
            </w:r>
          </w:p>
        </w:tc>
      </w:tr>
      <w:tr w:rsidR="00FE04E7" w:rsidRPr="00960FF5" w14:paraId="47D68B09" w14:textId="77777777" w:rsidTr="00383855">
        <w:trPr>
          <w:cantSplit/>
          <w:jc w:val="center"/>
        </w:trPr>
        <w:tc>
          <w:tcPr>
            <w:tcW w:w="2916" w:type="dxa"/>
            <w:gridSpan w:val="6"/>
            <w:shd w:val="clear" w:color="auto" w:fill="C0C0C0"/>
            <w:vAlign w:val="center"/>
          </w:tcPr>
          <w:p w14:paraId="44E46562" w14:textId="77777777" w:rsidR="00FE04E7" w:rsidRPr="00960FF5" w:rsidRDefault="00FE04E7" w:rsidP="00FE04E7">
            <w:pPr>
              <w:pStyle w:val="Tblzatcmke"/>
              <w:rPr>
                <w:lang w:val="en-GB"/>
              </w:rPr>
            </w:pPr>
            <w:proofErr w:type="spellStart"/>
            <w:r w:rsidRPr="00960FF5">
              <w:rPr>
                <w:lang w:val="en-GB"/>
              </w:rPr>
              <w:t>Jelleg</w:t>
            </w:r>
            <w:proofErr w:type="spellEnd"/>
            <w:r w:rsidRPr="00960FF5">
              <w:rPr>
                <w:lang w:val="en-GB"/>
              </w:rPr>
              <w:t xml:space="preserve"> (</w:t>
            </w:r>
            <w:proofErr w:type="spellStart"/>
            <w:r w:rsidRPr="00960FF5">
              <w:rPr>
                <w:lang w:val="en-GB"/>
              </w:rPr>
              <w:t>kötelező</w:t>
            </w:r>
            <w:proofErr w:type="spellEnd"/>
            <w:r w:rsidRPr="00960FF5">
              <w:rPr>
                <w:lang w:val="en-GB"/>
              </w:rPr>
              <w:t xml:space="preserve">/ </w:t>
            </w:r>
            <w:proofErr w:type="spellStart"/>
            <w:r w:rsidRPr="00960FF5">
              <w:rPr>
                <w:lang w:val="en-GB"/>
              </w:rPr>
              <w:t>választható</w:t>
            </w:r>
            <w:proofErr w:type="spellEnd"/>
            <w:r w:rsidRPr="00960FF5">
              <w:rPr>
                <w:lang w:val="en-GB"/>
              </w:rPr>
              <w:t>:)</w:t>
            </w:r>
          </w:p>
        </w:tc>
        <w:tc>
          <w:tcPr>
            <w:tcW w:w="1276" w:type="dxa"/>
            <w:gridSpan w:val="2"/>
            <w:vAlign w:val="center"/>
          </w:tcPr>
          <w:p w14:paraId="09124AEE" w14:textId="77777777" w:rsidR="00FE04E7" w:rsidRPr="00960FF5" w:rsidRDefault="00FE04E7" w:rsidP="00FE04E7">
            <w:pPr>
              <w:rPr>
                <w:lang w:val="en-GB"/>
              </w:rPr>
            </w:pPr>
            <w:proofErr w:type="spellStart"/>
            <w:r w:rsidRPr="00960FF5">
              <w:rPr>
                <w:lang w:val="en-GB"/>
              </w:rPr>
              <w:t>kötelező</w:t>
            </w:r>
            <w:proofErr w:type="spellEnd"/>
          </w:p>
        </w:tc>
        <w:tc>
          <w:tcPr>
            <w:tcW w:w="1176" w:type="dxa"/>
            <w:gridSpan w:val="2"/>
            <w:shd w:val="clear" w:color="auto" w:fill="C0C0C0"/>
            <w:vAlign w:val="center"/>
          </w:tcPr>
          <w:p w14:paraId="1DD13646" w14:textId="77777777" w:rsidR="00FE04E7" w:rsidRPr="00960FF5" w:rsidRDefault="00FE04E7" w:rsidP="00FE04E7">
            <w:pPr>
              <w:pStyle w:val="Tblzatcmke"/>
              <w:rPr>
                <w:lang w:val="en-GB"/>
              </w:rPr>
            </w:pPr>
            <w:proofErr w:type="spellStart"/>
            <w:r w:rsidRPr="00960FF5">
              <w:rPr>
                <w:lang w:val="en-GB"/>
              </w:rPr>
              <w:t>Tagozat</w:t>
            </w:r>
            <w:proofErr w:type="spellEnd"/>
            <w:r w:rsidRPr="00960FF5">
              <w:rPr>
                <w:lang w:val="en-GB"/>
              </w:rPr>
              <w:t>:</w:t>
            </w:r>
          </w:p>
        </w:tc>
        <w:tc>
          <w:tcPr>
            <w:tcW w:w="1573" w:type="dxa"/>
            <w:gridSpan w:val="4"/>
            <w:vAlign w:val="center"/>
          </w:tcPr>
          <w:p w14:paraId="7E1BDC8A" w14:textId="77777777" w:rsidR="00FE04E7" w:rsidRPr="00960FF5" w:rsidRDefault="00FE04E7" w:rsidP="00FE04E7">
            <w:pPr>
              <w:rPr>
                <w:lang w:val="en-GB"/>
              </w:rPr>
            </w:pPr>
            <w:proofErr w:type="spellStart"/>
            <w:r w:rsidRPr="00960FF5">
              <w:rPr>
                <w:lang w:val="en-GB"/>
              </w:rPr>
              <w:t>nappali</w:t>
            </w:r>
            <w:proofErr w:type="spellEnd"/>
          </w:p>
        </w:tc>
        <w:tc>
          <w:tcPr>
            <w:tcW w:w="2431" w:type="dxa"/>
            <w:gridSpan w:val="7"/>
            <w:shd w:val="clear" w:color="auto" w:fill="C0C0C0"/>
            <w:vAlign w:val="center"/>
          </w:tcPr>
          <w:p w14:paraId="0DE8946B" w14:textId="77777777" w:rsidR="00FE04E7" w:rsidRPr="00960FF5" w:rsidRDefault="00FE04E7" w:rsidP="00FE04E7">
            <w:pPr>
              <w:pStyle w:val="Tblzatcmke"/>
              <w:rPr>
                <w:lang w:val="en-GB"/>
              </w:rPr>
            </w:pPr>
            <w:proofErr w:type="spellStart"/>
            <w:r w:rsidRPr="00960FF5">
              <w:rPr>
                <w:lang w:val="en-GB"/>
              </w:rPr>
              <w:t>Félév</w:t>
            </w:r>
            <w:proofErr w:type="spellEnd"/>
            <w:r w:rsidRPr="00960FF5">
              <w:rPr>
                <w:lang w:val="en-GB"/>
              </w:rPr>
              <w:t xml:space="preserve"> a </w:t>
            </w:r>
            <w:proofErr w:type="spellStart"/>
            <w:r w:rsidRPr="00960FF5">
              <w:rPr>
                <w:lang w:val="en-GB"/>
              </w:rPr>
              <w:t>mintatantervben</w:t>
            </w:r>
            <w:proofErr w:type="spellEnd"/>
            <w:r w:rsidRPr="00960FF5">
              <w:rPr>
                <w:lang w:val="en-GB"/>
              </w:rPr>
              <w:t>:</w:t>
            </w:r>
          </w:p>
        </w:tc>
        <w:tc>
          <w:tcPr>
            <w:tcW w:w="1175" w:type="dxa"/>
            <w:gridSpan w:val="3"/>
            <w:vAlign w:val="center"/>
          </w:tcPr>
          <w:p w14:paraId="2E929122" w14:textId="03BC57D2" w:rsidR="00FE04E7" w:rsidRPr="00960FF5" w:rsidRDefault="00FE04E7" w:rsidP="00FE04E7">
            <w:pPr>
              <w:rPr>
                <w:lang w:val="en-GB"/>
              </w:rPr>
            </w:pPr>
            <w:r w:rsidRPr="00960FF5">
              <w:rPr>
                <w:lang w:val="en-GB"/>
              </w:rPr>
              <w:t>5</w:t>
            </w:r>
            <w:r w:rsidR="00490E62" w:rsidRPr="00960FF5">
              <w:rPr>
                <w:lang w:val="en-GB"/>
              </w:rPr>
              <w:t>.</w:t>
            </w:r>
          </w:p>
        </w:tc>
      </w:tr>
      <w:tr w:rsidR="00FE04E7" w:rsidRPr="00960FF5" w14:paraId="73EF5903" w14:textId="77777777" w:rsidTr="00383855">
        <w:trPr>
          <w:cantSplit/>
          <w:jc w:val="center"/>
        </w:trPr>
        <w:tc>
          <w:tcPr>
            <w:tcW w:w="3483" w:type="dxa"/>
            <w:gridSpan w:val="7"/>
            <w:shd w:val="clear" w:color="auto" w:fill="C0C0C0"/>
            <w:vAlign w:val="center"/>
          </w:tcPr>
          <w:p w14:paraId="0CA0AF44" w14:textId="77777777" w:rsidR="00FE04E7" w:rsidRPr="00960FF5" w:rsidRDefault="00FE04E7" w:rsidP="00FE04E7">
            <w:pPr>
              <w:pStyle w:val="Tblzatcmke"/>
              <w:rPr>
                <w:lang w:val="en-GB"/>
              </w:rPr>
            </w:pPr>
            <w:proofErr w:type="spellStart"/>
            <w:r w:rsidRPr="00960FF5">
              <w:rPr>
                <w:lang w:val="en-GB"/>
              </w:rPr>
              <w:t>Szakok</w:t>
            </w:r>
            <w:proofErr w:type="spellEnd"/>
            <w:r w:rsidRPr="00960FF5">
              <w:rPr>
                <w:lang w:val="en-GB"/>
              </w:rPr>
              <w:t xml:space="preserve"> </w:t>
            </w:r>
            <w:proofErr w:type="spellStart"/>
            <w:r w:rsidRPr="00960FF5">
              <w:rPr>
                <w:lang w:val="en-GB"/>
              </w:rPr>
              <w:t>melyeken</w:t>
            </w:r>
            <w:proofErr w:type="spellEnd"/>
            <w:r w:rsidRPr="00960FF5">
              <w:rPr>
                <w:lang w:val="en-GB"/>
              </w:rPr>
              <w:t xml:space="preserve"> a </w:t>
            </w:r>
            <w:proofErr w:type="spellStart"/>
            <w:r w:rsidRPr="00960FF5">
              <w:rPr>
                <w:lang w:val="en-GB"/>
              </w:rPr>
              <w:t>tárgyat</w:t>
            </w:r>
            <w:proofErr w:type="spellEnd"/>
            <w:r w:rsidRPr="00960FF5">
              <w:rPr>
                <w:lang w:val="en-GB"/>
              </w:rPr>
              <w:t xml:space="preserve"> </w:t>
            </w:r>
            <w:proofErr w:type="spellStart"/>
            <w:r w:rsidRPr="00960FF5">
              <w:rPr>
                <w:lang w:val="en-GB"/>
              </w:rPr>
              <w:t>oktatják</w:t>
            </w:r>
            <w:proofErr w:type="spellEnd"/>
            <w:r w:rsidRPr="00960FF5">
              <w:rPr>
                <w:lang w:val="en-GB"/>
              </w:rPr>
              <w:t>:</w:t>
            </w:r>
          </w:p>
        </w:tc>
        <w:tc>
          <w:tcPr>
            <w:tcW w:w="7064" w:type="dxa"/>
            <w:gridSpan w:val="17"/>
            <w:vAlign w:val="center"/>
          </w:tcPr>
          <w:p w14:paraId="0B7072C3" w14:textId="4E284363" w:rsidR="00FE04E7" w:rsidRPr="00960FF5" w:rsidRDefault="00FE04E7" w:rsidP="00FE04E7">
            <w:pPr>
              <w:rPr>
                <w:lang w:val="en-GB"/>
              </w:rPr>
            </w:pPr>
            <w:proofErr w:type="spellStart"/>
            <w:r w:rsidRPr="00960FF5">
              <w:rPr>
                <w:lang w:val="en-GB"/>
              </w:rPr>
              <w:t>Környezetmérnök</w:t>
            </w:r>
            <w:proofErr w:type="spellEnd"/>
            <w:r w:rsidRPr="00960FF5">
              <w:rPr>
                <w:lang w:val="en-GB"/>
              </w:rPr>
              <w:t xml:space="preserve"> </w:t>
            </w:r>
            <w:proofErr w:type="spellStart"/>
            <w:r w:rsidRPr="00960FF5">
              <w:rPr>
                <w:lang w:val="en-GB"/>
              </w:rPr>
              <w:t>alapszak</w:t>
            </w:r>
            <w:proofErr w:type="spellEnd"/>
          </w:p>
        </w:tc>
      </w:tr>
      <w:tr w:rsidR="00FE04E7" w:rsidRPr="00960FF5" w14:paraId="665A631A" w14:textId="77777777" w:rsidTr="00E4526A">
        <w:trPr>
          <w:cantSplit/>
          <w:jc w:val="center"/>
        </w:trPr>
        <w:tc>
          <w:tcPr>
            <w:tcW w:w="1623" w:type="dxa"/>
            <w:gridSpan w:val="3"/>
            <w:shd w:val="clear" w:color="auto" w:fill="C0C0C0"/>
            <w:vAlign w:val="center"/>
          </w:tcPr>
          <w:p w14:paraId="4036AE71" w14:textId="77777777" w:rsidR="00FE04E7" w:rsidRPr="00960FF5" w:rsidRDefault="00FE04E7" w:rsidP="00FE04E7">
            <w:pPr>
              <w:pStyle w:val="Tblzatcmke"/>
              <w:rPr>
                <w:lang w:val="en-GB"/>
              </w:rPr>
            </w:pPr>
            <w:proofErr w:type="spellStart"/>
            <w:r w:rsidRPr="00960FF5">
              <w:rPr>
                <w:lang w:val="en-GB"/>
              </w:rPr>
              <w:t>Tantárgyfelelős</w:t>
            </w:r>
            <w:proofErr w:type="spellEnd"/>
            <w:r w:rsidRPr="00960FF5">
              <w:rPr>
                <w:lang w:val="en-GB"/>
              </w:rPr>
              <w:t>:</w:t>
            </w:r>
          </w:p>
        </w:tc>
        <w:tc>
          <w:tcPr>
            <w:tcW w:w="4459" w:type="dxa"/>
            <w:gridSpan w:val="9"/>
            <w:vAlign w:val="center"/>
          </w:tcPr>
          <w:p w14:paraId="0CCF03B0" w14:textId="404F45CD" w:rsidR="00FE04E7" w:rsidRPr="00960FF5" w:rsidRDefault="00FE04E7" w:rsidP="00FE04E7">
            <w:pPr>
              <w:rPr>
                <w:bCs w:val="0"/>
                <w:lang w:val="en-GB"/>
              </w:rPr>
            </w:pPr>
            <w:r w:rsidRPr="00960FF5">
              <w:rPr>
                <w:bCs w:val="0"/>
                <w:lang w:val="en-GB"/>
              </w:rPr>
              <w:t>Dr. Zsarnóczai J. Sándor</w:t>
            </w:r>
            <w:r w:rsidR="00E4526A" w:rsidRPr="00960FF5">
              <w:rPr>
                <w:bCs w:val="0"/>
                <w:lang w:val="en-GB"/>
              </w:rPr>
              <w:t xml:space="preserve">, </w:t>
            </w:r>
            <w:proofErr w:type="spellStart"/>
            <w:r w:rsidR="00E4526A" w:rsidRPr="00960FF5">
              <w:rPr>
                <w:bCs w:val="0"/>
                <w:lang w:val="en-GB"/>
              </w:rPr>
              <w:t>CSc</w:t>
            </w:r>
            <w:proofErr w:type="spellEnd"/>
            <w:r w:rsidR="00E4526A" w:rsidRPr="00960FF5">
              <w:rPr>
                <w:bCs w:val="0"/>
                <w:lang w:val="en-GB"/>
              </w:rPr>
              <w:t>, Habil</w:t>
            </w:r>
          </w:p>
        </w:tc>
        <w:tc>
          <w:tcPr>
            <w:tcW w:w="849" w:type="dxa"/>
            <w:vAlign w:val="center"/>
          </w:tcPr>
          <w:p w14:paraId="7CCD3A38" w14:textId="77777777" w:rsidR="00FE04E7" w:rsidRPr="00960FF5" w:rsidRDefault="00FE04E7" w:rsidP="00FE04E7">
            <w:pPr>
              <w:rPr>
                <w:b w:val="0"/>
                <w:bCs w:val="0"/>
                <w:i/>
                <w:iCs/>
                <w:highlight w:val="lightGray"/>
                <w:lang w:val="en-GB"/>
              </w:rPr>
            </w:pPr>
            <w:proofErr w:type="spellStart"/>
            <w:r w:rsidRPr="00960FF5">
              <w:rPr>
                <w:b w:val="0"/>
                <w:bCs w:val="0"/>
                <w:i/>
                <w:iCs/>
                <w:highlight w:val="lightGray"/>
                <w:lang w:val="en-GB"/>
              </w:rPr>
              <w:t>Előadó</w:t>
            </w:r>
            <w:proofErr w:type="spellEnd"/>
            <w:r w:rsidRPr="00960FF5">
              <w:rPr>
                <w:b w:val="0"/>
                <w:bCs w:val="0"/>
                <w:i/>
                <w:iCs/>
                <w:highlight w:val="lightGray"/>
                <w:lang w:val="en-GB"/>
              </w:rPr>
              <w:t>:</w:t>
            </w:r>
          </w:p>
        </w:tc>
        <w:tc>
          <w:tcPr>
            <w:tcW w:w="3616" w:type="dxa"/>
            <w:gridSpan w:val="11"/>
            <w:vAlign w:val="center"/>
          </w:tcPr>
          <w:p w14:paraId="683F7AE4" w14:textId="07115142" w:rsidR="00FE04E7" w:rsidRPr="00960FF5" w:rsidRDefault="00FE04E7" w:rsidP="00FE04E7">
            <w:pPr>
              <w:rPr>
                <w:lang w:val="en-GB"/>
              </w:rPr>
            </w:pPr>
            <w:r w:rsidRPr="00960FF5">
              <w:rPr>
                <w:bCs w:val="0"/>
                <w:lang w:val="en-GB"/>
              </w:rPr>
              <w:t>Dr. Zsarnóczai J. Sándor</w:t>
            </w:r>
            <w:r w:rsidR="00E4526A" w:rsidRPr="00960FF5">
              <w:rPr>
                <w:bCs w:val="0"/>
                <w:lang w:val="en-GB"/>
              </w:rPr>
              <w:t xml:space="preserve">, </w:t>
            </w:r>
            <w:proofErr w:type="spellStart"/>
            <w:r w:rsidR="00E4526A" w:rsidRPr="00960FF5">
              <w:rPr>
                <w:bCs w:val="0"/>
                <w:lang w:val="en-GB"/>
              </w:rPr>
              <w:t>CSc</w:t>
            </w:r>
            <w:proofErr w:type="spellEnd"/>
            <w:r w:rsidR="00E4526A" w:rsidRPr="00960FF5">
              <w:rPr>
                <w:bCs w:val="0"/>
                <w:lang w:val="en-GB"/>
              </w:rPr>
              <w:t>, Habil</w:t>
            </w:r>
          </w:p>
        </w:tc>
      </w:tr>
      <w:tr w:rsidR="00FE04E7" w:rsidRPr="00960FF5" w14:paraId="0013869A" w14:textId="77777777" w:rsidTr="00383855">
        <w:trPr>
          <w:cantSplit/>
          <w:jc w:val="center"/>
        </w:trPr>
        <w:tc>
          <w:tcPr>
            <w:tcW w:w="3483" w:type="dxa"/>
            <w:gridSpan w:val="7"/>
            <w:shd w:val="clear" w:color="auto" w:fill="C0C0C0"/>
            <w:vAlign w:val="center"/>
          </w:tcPr>
          <w:p w14:paraId="3498DA53" w14:textId="77777777" w:rsidR="00FE04E7" w:rsidRPr="00960FF5" w:rsidRDefault="00FE04E7" w:rsidP="00FE04E7">
            <w:pPr>
              <w:pStyle w:val="Tblzatcmke"/>
              <w:rPr>
                <w:lang w:val="en-GB"/>
              </w:rPr>
            </w:pPr>
            <w:proofErr w:type="spellStart"/>
            <w:r w:rsidRPr="00960FF5">
              <w:rPr>
                <w:lang w:val="en-GB"/>
              </w:rPr>
              <w:t>Előtanulmányi</w:t>
            </w:r>
            <w:proofErr w:type="spellEnd"/>
            <w:r w:rsidRPr="00960FF5">
              <w:rPr>
                <w:lang w:val="en-GB"/>
              </w:rPr>
              <w:t xml:space="preserve"> </w:t>
            </w:r>
            <w:proofErr w:type="spellStart"/>
            <w:r w:rsidRPr="00960FF5">
              <w:rPr>
                <w:lang w:val="en-GB"/>
              </w:rPr>
              <w:t>feltételek</w:t>
            </w:r>
            <w:proofErr w:type="spellEnd"/>
            <w:r w:rsidRPr="00960FF5">
              <w:rPr>
                <w:lang w:val="en-GB"/>
              </w:rPr>
              <w:t xml:space="preserve"> (</w:t>
            </w:r>
            <w:proofErr w:type="spellStart"/>
            <w:r w:rsidRPr="00960FF5">
              <w:rPr>
                <w:lang w:val="en-GB"/>
              </w:rPr>
              <w:t>kóddal</w:t>
            </w:r>
            <w:proofErr w:type="spellEnd"/>
            <w:r w:rsidRPr="00960FF5">
              <w:rPr>
                <w:lang w:val="en-GB"/>
              </w:rPr>
              <w:t xml:space="preserve"> is):</w:t>
            </w:r>
          </w:p>
        </w:tc>
        <w:tc>
          <w:tcPr>
            <w:tcW w:w="7064" w:type="dxa"/>
            <w:gridSpan w:val="17"/>
            <w:vAlign w:val="center"/>
          </w:tcPr>
          <w:p w14:paraId="66FC81FC" w14:textId="3E87EA50" w:rsidR="00FE04E7" w:rsidRPr="00960FF5" w:rsidRDefault="00FE04E7" w:rsidP="00FE04E7">
            <w:pPr>
              <w:rPr>
                <w:lang w:val="en-GB"/>
              </w:rPr>
            </w:pPr>
            <w:proofErr w:type="spellStart"/>
            <w:r w:rsidRPr="00960FF5">
              <w:rPr>
                <w:lang w:val="en-GB"/>
              </w:rPr>
              <w:t>nincs</w:t>
            </w:r>
            <w:proofErr w:type="spellEnd"/>
          </w:p>
        </w:tc>
      </w:tr>
      <w:tr w:rsidR="00FE04E7" w:rsidRPr="00960FF5" w14:paraId="7F448196" w14:textId="77777777" w:rsidTr="00313E48">
        <w:trPr>
          <w:cantSplit/>
          <w:trHeight w:val="369"/>
          <w:jc w:val="center"/>
        </w:trPr>
        <w:tc>
          <w:tcPr>
            <w:tcW w:w="1623" w:type="dxa"/>
            <w:gridSpan w:val="3"/>
            <w:shd w:val="clear" w:color="auto" w:fill="C0C0C0"/>
            <w:vAlign w:val="center"/>
          </w:tcPr>
          <w:p w14:paraId="081F848F" w14:textId="24FD02ED" w:rsidR="00FE04E7" w:rsidRPr="00960FF5" w:rsidRDefault="00FE04E7" w:rsidP="00FE04E7">
            <w:pPr>
              <w:pStyle w:val="Tblzatcmke"/>
              <w:rPr>
                <w:lang w:val="en-GB"/>
              </w:rPr>
            </w:pPr>
            <w:r w:rsidRPr="00960FF5">
              <w:rPr>
                <w:i w:val="0"/>
                <w:iCs w:val="0"/>
                <w:sz w:val="18"/>
                <w:szCs w:val="18"/>
                <w:lang w:val="en-GB"/>
              </w:rPr>
              <w:t xml:space="preserve">Heti </w:t>
            </w:r>
            <w:proofErr w:type="spellStart"/>
            <w:r w:rsidRPr="00960FF5">
              <w:rPr>
                <w:i w:val="0"/>
                <w:iCs w:val="0"/>
                <w:sz w:val="18"/>
                <w:szCs w:val="18"/>
                <w:lang w:val="en-GB"/>
              </w:rPr>
              <w:t>óraszámok</w:t>
            </w:r>
            <w:proofErr w:type="spellEnd"/>
            <w:r w:rsidRPr="00960FF5">
              <w:rPr>
                <w:i w:val="0"/>
                <w:iCs w:val="0"/>
                <w:sz w:val="18"/>
                <w:szCs w:val="18"/>
                <w:lang w:val="en-GB"/>
              </w:rPr>
              <w:t>:</w:t>
            </w:r>
          </w:p>
        </w:tc>
        <w:tc>
          <w:tcPr>
            <w:tcW w:w="1066" w:type="dxa"/>
            <w:gridSpan w:val="2"/>
            <w:shd w:val="clear" w:color="auto" w:fill="C0C0C0"/>
            <w:vAlign w:val="center"/>
          </w:tcPr>
          <w:p w14:paraId="3C2D27C9" w14:textId="7C918547" w:rsidR="00FE04E7" w:rsidRPr="00960FF5" w:rsidRDefault="00FE04E7" w:rsidP="00FE04E7">
            <w:pPr>
              <w:pStyle w:val="Tblzatcmke"/>
              <w:rPr>
                <w:lang w:val="en-GB"/>
              </w:rPr>
            </w:pPr>
            <w:proofErr w:type="spellStart"/>
            <w:r w:rsidRPr="00960FF5">
              <w:rPr>
                <w:i w:val="0"/>
                <w:iCs w:val="0"/>
                <w:sz w:val="18"/>
                <w:szCs w:val="18"/>
                <w:lang w:val="en-GB"/>
              </w:rPr>
              <w:t>Előadás</w:t>
            </w:r>
            <w:proofErr w:type="spellEnd"/>
            <w:r w:rsidRPr="00960FF5">
              <w:rPr>
                <w:i w:val="0"/>
                <w:iCs w:val="0"/>
                <w:sz w:val="18"/>
                <w:szCs w:val="18"/>
                <w:lang w:val="en-GB"/>
              </w:rPr>
              <w:t xml:space="preserve">:  </w:t>
            </w:r>
          </w:p>
        </w:tc>
        <w:tc>
          <w:tcPr>
            <w:tcW w:w="794" w:type="dxa"/>
            <w:gridSpan w:val="2"/>
            <w:vAlign w:val="center"/>
          </w:tcPr>
          <w:p w14:paraId="2B5C163E" w14:textId="6E67C134" w:rsidR="00FE04E7" w:rsidRPr="00960FF5" w:rsidRDefault="00FE04E7" w:rsidP="00FE04E7">
            <w:pPr>
              <w:rPr>
                <w:lang w:val="en-GB"/>
              </w:rPr>
            </w:pPr>
            <w:r w:rsidRPr="00960FF5">
              <w:rPr>
                <w:b w:val="0"/>
                <w:sz w:val="18"/>
                <w:szCs w:val="18"/>
                <w:lang w:val="en-GB"/>
              </w:rPr>
              <w:t>2</w:t>
            </w:r>
          </w:p>
        </w:tc>
        <w:tc>
          <w:tcPr>
            <w:tcW w:w="1917" w:type="dxa"/>
            <w:gridSpan w:val="4"/>
            <w:shd w:val="clear" w:color="auto" w:fill="C0C0C0"/>
            <w:vAlign w:val="center"/>
          </w:tcPr>
          <w:p w14:paraId="06CE1015" w14:textId="4FBF31F3" w:rsidR="00FE04E7" w:rsidRPr="00960FF5" w:rsidRDefault="00FE04E7" w:rsidP="00FE04E7">
            <w:pPr>
              <w:pStyle w:val="Tblzatcmke"/>
              <w:rPr>
                <w:lang w:val="en-GB"/>
              </w:rPr>
            </w:pPr>
            <w:r w:rsidRPr="00960FF5">
              <w:rPr>
                <w:i w:val="0"/>
                <w:iCs w:val="0"/>
                <w:sz w:val="18"/>
                <w:szCs w:val="18"/>
                <w:lang w:val="en-GB"/>
              </w:rPr>
              <w:t xml:space="preserve">Tantermi </w:t>
            </w:r>
            <w:proofErr w:type="spellStart"/>
            <w:r w:rsidRPr="00960FF5">
              <w:rPr>
                <w:i w:val="0"/>
                <w:iCs w:val="0"/>
                <w:sz w:val="18"/>
                <w:szCs w:val="18"/>
                <w:lang w:val="en-GB"/>
              </w:rPr>
              <w:t>gyakorlat</w:t>
            </w:r>
            <w:proofErr w:type="spellEnd"/>
            <w:r w:rsidRPr="00960FF5">
              <w:rPr>
                <w:i w:val="0"/>
                <w:iCs w:val="0"/>
                <w:sz w:val="18"/>
                <w:szCs w:val="18"/>
                <w:lang w:val="en-GB"/>
              </w:rPr>
              <w:t xml:space="preserve">:  </w:t>
            </w:r>
          </w:p>
        </w:tc>
        <w:tc>
          <w:tcPr>
            <w:tcW w:w="682" w:type="dxa"/>
            <w:vAlign w:val="center"/>
          </w:tcPr>
          <w:p w14:paraId="2A4BBB04" w14:textId="1DDB2EC6" w:rsidR="00FE04E7" w:rsidRPr="00960FF5" w:rsidRDefault="00FE04E7" w:rsidP="00FE04E7">
            <w:pPr>
              <w:rPr>
                <w:lang w:val="en-GB"/>
              </w:rPr>
            </w:pPr>
            <w:r w:rsidRPr="00960FF5">
              <w:rPr>
                <w:b w:val="0"/>
                <w:sz w:val="18"/>
                <w:szCs w:val="18"/>
                <w:lang w:val="en-GB"/>
              </w:rPr>
              <w:t>0</w:t>
            </w:r>
          </w:p>
        </w:tc>
        <w:tc>
          <w:tcPr>
            <w:tcW w:w="1416" w:type="dxa"/>
            <w:gridSpan w:val="3"/>
            <w:shd w:val="clear" w:color="auto" w:fill="C0C0C0"/>
            <w:vAlign w:val="center"/>
          </w:tcPr>
          <w:p w14:paraId="36524393" w14:textId="59403616" w:rsidR="00FE04E7" w:rsidRPr="00960FF5" w:rsidRDefault="00FE04E7" w:rsidP="00FE04E7">
            <w:pPr>
              <w:pStyle w:val="Tblzatcmke"/>
              <w:jc w:val="center"/>
              <w:rPr>
                <w:lang w:val="en-GB"/>
              </w:rPr>
            </w:pPr>
            <w:proofErr w:type="spellStart"/>
            <w:r w:rsidRPr="00960FF5">
              <w:rPr>
                <w:i w:val="0"/>
                <w:iCs w:val="0"/>
                <w:sz w:val="18"/>
                <w:szCs w:val="18"/>
                <w:lang w:val="en-GB"/>
              </w:rPr>
              <w:t>Laborgyakorlat</w:t>
            </w:r>
            <w:proofErr w:type="spellEnd"/>
            <w:r w:rsidRPr="00960FF5">
              <w:rPr>
                <w:i w:val="0"/>
                <w:iCs w:val="0"/>
                <w:sz w:val="18"/>
                <w:szCs w:val="18"/>
                <w:lang w:val="en-GB"/>
              </w:rPr>
              <w:t xml:space="preserve">: </w:t>
            </w:r>
          </w:p>
        </w:tc>
        <w:tc>
          <w:tcPr>
            <w:tcW w:w="762" w:type="dxa"/>
            <w:gridSpan w:val="2"/>
            <w:vAlign w:val="center"/>
          </w:tcPr>
          <w:p w14:paraId="5F52E44B" w14:textId="2DB7754C" w:rsidR="00FE04E7" w:rsidRPr="00960FF5" w:rsidRDefault="00FE04E7" w:rsidP="00FE04E7">
            <w:pPr>
              <w:rPr>
                <w:lang w:val="en-GB"/>
              </w:rPr>
            </w:pPr>
            <w:r w:rsidRPr="00960FF5">
              <w:rPr>
                <w:i/>
                <w:iCs/>
                <w:sz w:val="18"/>
                <w:szCs w:val="18"/>
                <w:lang w:val="en-GB"/>
              </w:rPr>
              <w:t xml:space="preserve">0   </w:t>
            </w:r>
          </w:p>
        </w:tc>
        <w:tc>
          <w:tcPr>
            <w:tcW w:w="1648" w:type="dxa"/>
            <w:gridSpan w:val="6"/>
            <w:shd w:val="clear" w:color="auto" w:fill="BFBFBF" w:themeFill="background1" w:themeFillShade="BF"/>
            <w:vAlign w:val="center"/>
          </w:tcPr>
          <w:p w14:paraId="28E34A3D" w14:textId="3C1A711E" w:rsidR="00FE04E7" w:rsidRPr="00960FF5" w:rsidRDefault="00FE04E7" w:rsidP="00FE04E7">
            <w:pPr>
              <w:rPr>
                <w:b w:val="0"/>
                <w:bCs w:val="0"/>
                <w:lang w:val="en-GB"/>
              </w:rPr>
            </w:pPr>
            <w:proofErr w:type="spellStart"/>
            <w:r w:rsidRPr="00960FF5">
              <w:rPr>
                <w:b w:val="0"/>
                <w:bCs w:val="0"/>
                <w:i/>
                <w:iCs/>
                <w:sz w:val="18"/>
                <w:szCs w:val="18"/>
                <w:lang w:val="en-GB"/>
              </w:rPr>
              <w:t>Össz</w:t>
            </w:r>
            <w:proofErr w:type="spellEnd"/>
            <w:r w:rsidRPr="00960FF5">
              <w:rPr>
                <w:b w:val="0"/>
                <w:bCs w:val="0"/>
                <w:i/>
                <w:iCs/>
                <w:sz w:val="18"/>
                <w:szCs w:val="18"/>
                <w:lang w:val="en-GB"/>
              </w:rPr>
              <w:t xml:space="preserve">. </w:t>
            </w:r>
            <w:proofErr w:type="spellStart"/>
            <w:r w:rsidRPr="00960FF5">
              <w:rPr>
                <w:b w:val="0"/>
                <w:bCs w:val="0"/>
                <w:i/>
                <w:iCs/>
                <w:sz w:val="18"/>
                <w:szCs w:val="18"/>
                <w:lang w:val="en-GB"/>
              </w:rPr>
              <w:t>óraszám</w:t>
            </w:r>
            <w:proofErr w:type="spellEnd"/>
            <w:r w:rsidRPr="00960FF5">
              <w:rPr>
                <w:b w:val="0"/>
                <w:bCs w:val="0"/>
                <w:i/>
                <w:iCs/>
                <w:sz w:val="18"/>
                <w:szCs w:val="18"/>
                <w:lang w:val="en-GB"/>
              </w:rPr>
              <w:t>:</w:t>
            </w:r>
          </w:p>
        </w:tc>
        <w:tc>
          <w:tcPr>
            <w:tcW w:w="639" w:type="dxa"/>
            <w:vAlign w:val="center"/>
          </w:tcPr>
          <w:p w14:paraId="0CF71DF2" w14:textId="721BB41B" w:rsidR="00FE04E7" w:rsidRPr="00960FF5" w:rsidRDefault="00FE04E7" w:rsidP="00FE04E7">
            <w:pPr>
              <w:rPr>
                <w:lang w:val="en-GB"/>
              </w:rPr>
            </w:pPr>
            <w:r w:rsidRPr="00960FF5">
              <w:rPr>
                <w:i/>
                <w:iCs/>
                <w:sz w:val="18"/>
                <w:szCs w:val="18"/>
                <w:lang w:val="en-GB"/>
              </w:rPr>
              <w:t>28</w:t>
            </w:r>
          </w:p>
        </w:tc>
      </w:tr>
      <w:tr w:rsidR="00FE04E7" w:rsidRPr="00960FF5" w14:paraId="05E16B1F" w14:textId="77777777" w:rsidTr="00313E48">
        <w:trPr>
          <w:cantSplit/>
          <w:trHeight w:val="519"/>
          <w:jc w:val="center"/>
        </w:trPr>
        <w:tc>
          <w:tcPr>
            <w:tcW w:w="2689" w:type="dxa"/>
            <w:gridSpan w:val="5"/>
            <w:shd w:val="clear" w:color="auto" w:fill="C0C0C0"/>
            <w:vAlign w:val="center"/>
          </w:tcPr>
          <w:p w14:paraId="022C4BEF" w14:textId="6B36696F" w:rsidR="00FE04E7" w:rsidRPr="00960FF5" w:rsidRDefault="00FE04E7" w:rsidP="00FE04E7">
            <w:pPr>
              <w:pStyle w:val="Tblzatcmke"/>
              <w:rPr>
                <w:lang w:val="en-GB"/>
              </w:rPr>
            </w:pPr>
            <w:proofErr w:type="spellStart"/>
            <w:r w:rsidRPr="00960FF5">
              <w:rPr>
                <w:i w:val="0"/>
                <w:iCs w:val="0"/>
                <w:sz w:val="18"/>
                <w:szCs w:val="18"/>
                <w:lang w:val="en-GB"/>
              </w:rPr>
              <w:t>Számonkérés</w:t>
            </w:r>
            <w:proofErr w:type="spellEnd"/>
            <w:r w:rsidRPr="00960FF5">
              <w:rPr>
                <w:i w:val="0"/>
                <w:iCs w:val="0"/>
                <w:sz w:val="18"/>
                <w:szCs w:val="18"/>
                <w:lang w:val="en-GB"/>
              </w:rPr>
              <w:t xml:space="preserve"> </w:t>
            </w:r>
            <w:proofErr w:type="spellStart"/>
            <w:r w:rsidRPr="00960FF5">
              <w:rPr>
                <w:i w:val="0"/>
                <w:iCs w:val="0"/>
                <w:sz w:val="18"/>
                <w:szCs w:val="18"/>
                <w:lang w:val="en-GB"/>
              </w:rPr>
              <w:t>módja</w:t>
            </w:r>
            <w:proofErr w:type="spellEnd"/>
            <w:r w:rsidRPr="00960FF5">
              <w:rPr>
                <w:i w:val="0"/>
                <w:iCs w:val="0"/>
                <w:sz w:val="18"/>
                <w:szCs w:val="18"/>
                <w:lang w:val="en-GB"/>
              </w:rPr>
              <w:t xml:space="preserve"> (s; v; f):</w:t>
            </w:r>
          </w:p>
        </w:tc>
        <w:tc>
          <w:tcPr>
            <w:tcW w:w="794" w:type="dxa"/>
            <w:gridSpan w:val="2"/>
            <w:vAlign w:val="center"/>
          </w:tcPr>
          <w:p w14:paraId="7869CDC9" w14:textId="0814FB7D" w:rsidR="00FE04E7" w:rsidRPr="00960FF5" w:rsidRDefault="00FE04E7" w:rsidP="00FE04E7">
            <w:pPr>
              <w:rPr>
                <w:lang w:val="en-GB"/>
              </w:rPr>
            </w:pPr>
            <w:r w:rsidRPr="00960FF5">
              <w:rPr>
                <w:b w:val="0"/>
                <w:sz w:val="18"/>
                <w:szCs w:val="18"/>
                <w:lang w:val="en-GB"/>
              </w:rPr>
              <w:t>é</w:t>
            </w:r>
          </w:p>
        </w:tc>
        <w:tc>
          <w:tcPr>
            <w:tcW w:w="1917" w:type="dxa"/>
            <w:gridSpan w:val="4"/>
            <w:shd w:val="clear" w:color="auto" w:fill="C0C0C0"/>
            <w:vAlign w:val="center"/>
          </w:tcPr>
          <w:p w14:paraId="0E08A08B" w14:textId="39AA8B2A" w:rsidR="00FE04E7" w:rsidRPr="00960FF5" w:rsidRDefault="00FE04E7" w:rsidP="00FE04E7">
            <w:pPr>
              <w:pStyle w:val="Tblzatcmke"/>
              <w:rPr>
                <w:lang w:val="en-GB"/>
              </w:rPr>
            </w:pPr>
            <w:r w:rsidRPr="00960FF5">
              <w:rPr>
                <w:i w:val="0"/>
                <w:iCs w:val="0"/>
                <w:sz w:val="18"/>
                <w:szCs w:val="18"/>
                <w:lang w:val="en-GB"/>
              </w:rPr>
              <w:t xml:space="preserve">A </w:t>
            </w:r>
            <w:proofErr w:type="spellStart"/>
            <w:r w:rsidRPr="00960FF5">
              <w:rPr>
                <w:i w:val="0"/>
                <w:iCs w:val="0"/>
                <w:sz w:val="18"/>
                <w:szCs w:val="18"/>
                <w:lang w:val="en-GB"/>
              </w:rPr>
              <w:t>képzés</w:t>
            </w:r>
            <w:proofErr w:type="spellEnd"/>
            <w:r w:rsidRPr="00960FF5">
              <w:rPr>
                <w:i w:val="0"/>
                <w:iCs w:val="0"/>
                <w:sz w:val="18"/>
                <w:szCs w:val="18"/>
                <w:lang w:val="en-GB"/>
              </w:rPr>
              <w:t xml:space="preserve"> </w:t>
            </w:r>
            <w:proofErr w:type="spellStart"/>
            <w:r w:rsidRPr="00960FF5">
              <w:rPr>
                <w:i w:val="0"/>
                <w:iCs w:val="0"/>
                <w:sz w:val="18"/>
                <w:szCs w:val="18"/>
                <w:lang w:val="en-GB"/>
              </w:rPr>
              <w:t>nyelve</w:t>
            </w:r>
            <w:proofErr w:type="spellEnd"/>
            <w:r w:rsidRPr="00960FF5">
              <w:rPr>
                <w:i w:val="0"/>
                <w:iCs w:val="0"/>
                <w:sz w:val="18"/>
                <w:szCs w:val="18"/>
                <w:lang w:val="en-GB"/>
              </w:rPr>
              <w:t>:</w:t>
            </w:r>
          </w:p>
        </w:tc>
        <w:tc>
          <w:tcPr>
            <w:tcW w:w="3232" w:type="dxa"/>
            <w:gridSpan w:val="7"/>
            <w:vAlign w:val="center"/>
          </w:tcPr>
          <w:p w14:paraId="7C03BD19" w14:textId="3B7E44E7" w:rsidR="00FE04E7" w:rsidRPr="00960FF5" w:rsidRDefault="00FE04E7" w:rsidP="00FE04E7">
            <w:pPr>
              <w:rPr>
                <w:lang w:val="en-GB"/>
              </w:rPr>
            </w:pPr>
            <w:r w:rsidRPr="00960FF5">
              <w:rPr>
                <w:b w:val="0"/>
                <w:sz w:val="18"/>
                <w:szCs w:val="18"/>
                <w:lang w:val="en-GB"/>
              </w:rPr>
              <w:t>Angol</w:t>
            </w:r>
          </w:p>
        </w:tc>
        <w:tc>
          <w:tcPr>
            <w:tcW w:w="160" w:type="dxa"/>
            <w:shd w:val="clear" w:color="auto" w:fill="C0C0C0"/>
          </w:tcPr>
          <w:p w14:paraId="367A68A9" w14:textId="15CD4CB5" w:rsidR="00FE04E7" w:rsidRPr="00960FF5" w:rsidRDefault="00FE04E7" w:rsidP="00FE04E7">
            <w:pPr>
              <w:pStyle w:val="Tblzatcmke"/>
              <w:jc w:val="center"/>
              <w:rPr>
                <w:lang w:val="en-GB"/>
              </w:rPr>
            </w:pPr>
          </w:p>
        </w:tc>
        <w:tc>
          <w:tcPr>
            <w:tcW w:w="1755" w:type="dxa"/>
            <w:gridSpan w:val="5"/>
            <w:vAlign w:val="center"/>
          </w:tcPr>
          <w:p w14:paraId="00FD0625" w14:textId="000485DD" w:rsidR="00FE04E7" w:rsidRPr="00960FF5" w:rsidRDefault="00FE04E7" w:rsidP="00FE04E7">
            <w:pPr>
              <w:rPr>
                <w:lang w:val="en-GB"/>
              </w:rPr>
            </w:pPr>
          </w:p>
        </w:tc>
      </w:tr>
      <w:tr w:rsidR="00FE04E7" w:rsidRPr="00960FF5" w14:paraId="64F7AE81" w14:textId="77777777" w:rsidTr="008A74BC">
        <w:trPr>
          <w:cantSplit/>
          <w:jc w:val="center"/>
        </w:trPr>
        <w:tc>
          <w:tcPr>
            <w:tcW w:w="10547" w:type="dxa"/>
            <w:gridSpan w:val="24"/>
            <w:shd w:val="clear" w:color="auto" w:fill="C0C0C0"/>
            <w:vAlign w:val="center"/>
          </w:tcPr>
          <w:p w14:paraId="33D74826" w14:textId="77777777" w:rsidR="00FE04E7" w:rsidRPr="00960FF5" w:rsidRDefault="00FE04E7" w:rsidP="00FE04E7">
            <w:pPr>
              <w:pStyle w:val="Cmsor1"/>
              <w:rPr>
                <w:b/>
                <w:bCs/>
                <w:lang w:val="en-GB"/>
              </w:rPr>
            </w:pPr>
            <w:r w:rsidRPr="00960FF5">
              <w:rPr>
                <w:b/>
                <w:bCs/>
                <w:lang w:val="en-GB"/>
              </w:rPr>
              <w:t xml:space="preserve">A </w:t>
            </w:r>
            <w:proofErr w:type="spellStart"/>
            <w:r w:rsidRPr="00960FF5">
              <w:rPr>
                <w:b/>
                <w:bCs/>
                <w:lang w:val="en-GB"/>
              </w:rPr>
              <w:t>tananyag</w:t>
            </w:r>
            <w:proofErr w:type="spellEnd"/>
          </w:p>
        </w:tc>
      </w:tr>
      <w:tr w:rsidR="00FE04E7" w:rsidRPr="00960FF5" w14:paraId="34502449" w14:textId="77777777" w:rsidTr="008A74BC">
        <w:trPr>
          <w:cantSplit/>
          <w:trHeight w:val="278"/>
          <w:jc w:val="center"/>
        </w:trPr>
        <w:tc>
          <w:tcPr>
            <w:tcW w:w="10547" w:type="dxa"/>
            <w:gridSpan w:val="24"/>
            <w:shd w:val="clear" w:color="auto" w:fill="C0C0C0"/>
            <w:vAlign w:val="center"/>
          </w:tcPr>
          <w:p w14:paraId="0CEE7D78" w14:textId="77777777" w:rsidR="00FE04E7" w:rsidRPr="00960FF5" w:rsidRDefault="00FE04E7" w:rsidP="00FE04E7">
            <w:pPr>
              <w:pStyle w:val="Cmsor2"/>
              <w:rPr>
                <w:lang w:val="en-GB"/>
              </w:rPr>
            </w:pPr>
            <w:proofErr w:type="spellStart"/>
            <w:r w:rsidRPr="00960FF5">
              <w:rPr>
                <w:lang w:val="en-GB"/>
              </w:rPr>
              <w:t>Oktatási</w:t>
            </w:r>
            <w:proofErr w:type="spellEnd"/>
            <w:r w:rsidRPr="00960FF5">
              <w:rPr>
                <w:lang w:val="en-GB"/>
              </w:rPr>
              <w:t xml:space="preserve"> </w:t>
            </w:r>
            <w:proofErr w:type="spellStart"/>
            <w:r w:rsidRPr="00960FF5">
              <w:rPr>
                <w:lang w:val="en-GB"/>
              </w:rPr>
              <w:t>cél</w:t>
            </w:r>
            <w:proofErr w:type="spellEnd"/>
            <w:r w:rsidRPr="00960FF5">
              <w:rPr>
                <w:lang w:val="en-GB"/>
              </w:rPr>
              <w:t>:</w:t>
            </w:r>
          </w:p>
        </w:tc>
      </w:tr>
      <w:tr w:rsidR="00FE04E7" w:rsidRPr="00960FF5" w14:paraId="10C02930" w14:textId="77777777" w:rsidTr="00C750F4">
        <w:trPr>
          <w:cantSplit/>
          <w:trHeight w:hRule="exact" w:val="3109"/>
          <w:jc w:val="center"/>
        </w:trPr>
        <w:tc>
          <w:tcPr>
            <w:tcW w:w="10547" w:type="dxa"/>
            <w:gridSpan w:val="24"/>
          </w:tcPr>
          <w:p w14:paraId="040AA85C" w14:textId="77777777" w:rsidR="00490E62" w:rsidRPr="00960FF5" w:rsidRDefault="00490E62" w:rsidP="00490E62">
            <w:pPr>
              <w:jc w:val="both"/>
              <w:rPr>
                <w:b w:val="0"/>
                <w:sz w:val="18"/>
                <w:szCs w:val="18"/>
                <w:lang w:val="en-GB"/>
              </w:rPr>
            </w:pPr>
            <w:r w:rsidRPr="00960FF5">
              <w:rPr>
                <w:b w:val="0"/>
                <w:sz w:val="18"/>
                <w:szCs w:val="18"/>
                <w:lang w:val="en-GB"/>
              </w:rPr>
              <w:t>Introduction: Environmental economics is the subset of economics that is concerned with the efficient allocation of environmental resources. The environment provides both a direct value as well as raw material intended for economic activity, thus</w:t>
            </w:r>
          </w:p>
          <w:p w14:paraId="27E977A3" w14:textId="77777777" w:rsidR="00490E62" w:rsidRPr="00960FF5" w:rsidRDefault="00490E62" w:rsidP="00490E62">
            <w:pPr>
              <w:pStyle w:val="Lers"/>
              <w:spacing w:before="0" w:after="0"/>
              <w:jc w:val="left"/>
              <w:rPr>
                <w:bCs/>
                <w:sz w:val="18"/>
                <w:szCs w:val="18"/>
                <w:lang w:val="en-GB"/>
              </w:rPr>
            </w:pPr>
            <w:r w:rsidRPr="00960FF5">
              <w:rPr>
                <w:bCs/>
                <w:sz w:val="18"/>
                <w:szCs w:val="18"/>
                <w:lang w:val="en-GB"/>
              </w:rPr>
              <w:t>making the environment and the economy interdependent. The “law of diminishing returns” is one of the best-known principles outside the field of economics. It was first developed in 1767 by the French economist Turgot in relation to agricultural production, but it is most often associated with Thomas Malthus and David Ricardo.</w:t>
            </w:r>
          </w:p>
          <w:p w14:paraId="429F741E" w14:textId="77777777" w:rsidR="00490E62" w:rsidRPr="00960FF5" w:rsidRDefault="00490E62" w:rsidP="00490E62">
            <w:pPr>
              <w:jc w:val="both"/>
              <w:rPr>
                <w:b w:val="0"/>
                <w:sz w:val="18"/>
                <w:szCs w:val="18"/>
                <w:lang w:val="en-GB"/>
              </w:rPr>
            </w:pPr>
            <w:r w:rsidRPr="00960FF5">
              <w:rPr>
                <w:b w:val="0"/>
                <w:sz w:val="18"/>
                <w:szCs w:val="18"/>
                <w:lang w:val="en-GB"/>
              </w:rPr>
              <w:t>Changes in population can have a variety of economic, ecological, and social implications. One population issue is that of carrying capacity – the number of individuals an ecosystem can support without having any negative effects. English economist Thomas Malthus who stated that continued population growth would cause over-consumption of resources. Malthus further argued that</w:t>
            </w:r>
          </w:p>
          <w:p w14:paraId="175F1035" w14:textId="1690CF2A" w:rsidR="00490E62" w:rsidRPr="00960FF5" w:rsidRDefault="00490E62" w:rsidP="00490E62">
            <w:pPr>
              <w:jc w:val="both"/>
              <w:rPr>
                <w:b w:val="0"/>
                <w:color w:val="000000"/>
                <w:sz w:val="18"/>
                <w:szCs w:val="18"/>
                <w:lang w:val="en-GB"/>
              </w:rPr>
            </w:pPr>
            <w:r w:rsidRPr="00960FF5">
              <w:rPr>
                <w:b w:val="0"/>
                <w:sz w:val="18"/>
                <w:szCs w:val="18"/>
                <w:lang w:val="en-GB"/>
              </w:rPr>
              <w:t xml:space="preserve">population was likely to grow at an exponential rate while food supplies would increase at an arithmetic rate, not keeping up with the exponential population growth. </w:t>
            </w:r>
            <w:r w:rsidRPr="00960FF5">
              <w:rPr>
                <w:b w:val="0"/>
                <w:color w:val="000000"/>
                <w:sz w:val="18"/>
                <w:szCs w:val="18"/>
                <w:lang w:val="en-GB"/>
              </w:rPr>
              <w:t xml:space="preserve">United Nation's World Commission on Environment and Development commissioned a study on the subject by what is now known as the Brundtland Commission. The resulting report, </w:t>
            </w:r>
            <w:r w:rsidRPr="00960FF5">
              <w:rPr>
                <w:b w:val="0"/>
                <w:i/>
                <w:iCs/>
                <w:color w:val="000000"/>
                <w:sz w:val="18"/>
                <w:szCs w:val="18"/>
                <w:lang w:val="en-GB"/>
              </w:rPr>
              <w:t xml:space="preserve">Our Common Future </w:t>
            </w:r>
            <w:r w:rsidRPr="00960FF5">
              <w:rPr>
                <w:b w:val="0"/>
                <w:color w:val="000000"/>
                <w:sz w:val="18"/>
                <w:szCs w:val="18"/>
                <w:lang w:val="en-GB"/>
              </w:rPr>
              <w:t xml:space="preserve">(1987), defined sustainable development as "development that meets the needs of the present without compromising the ability of future generations to meet their own needs," which has become the accepted standard definition. Two basic terms that are used most often by economists are </w:t>
            </w:r>
            <w:r w:rsidRPr="00960FF5">
              <w:rPr>
                <w:b w:val="0"/>
                <w:i/>
                <w:iCs/>
                <w:color w:val="000000"/>
                <w:sz w:val="18"/>
                <w:szCs w:val="18"/>
                <w:lang w:val="en-GB"/>
              </w:rPr>
              <w:t xml:space="preserve">supply </w:t>
            </w:r>
            <w:r w:rsidRPr="00960FF5">
              <w:rPr>
                <w:b w:val="0"/>
                <w:color w:val="000000"/>
                <w:sz w:val="18"/>
                <w:szCs w:val="18"/>
                <w:lang w:val="en-GB"/>
              </w:rPr>
              <w:t xml:space="preserve">and </w:t>
            </w:r>
            <w:r w:rsidRPr="00960FF5">
              <w:rPr>
                <w:b w:val="0"/>
                <w:i/>
                <w:iCs/>
                <w:color w:val="000000"/>
                <w:sz w:val="18"/>
                <w:szCs w:val="18"/>
                <w:lang w:val="en-GB"/>
              </w:rPr>
              <w:t>demand</w:t>
            </w:r>
            <w:r w:rsidRPr="00960FF5">
              <w:rPr>
                <w:b w:val="0"/>
                <w:color w:val="000000"/>
                <w:sz w:val="18"/>
                <w:szCs w:val="18"/>
                <w:lang w:val="en-GB"/>
              </w:rPr>
              <w:t>.</w:t>
            </w:r>
          </w:p>
          <w:p w14:paraId="0213C2E5" w14:textId="0D0E98DA" w:rsidR="00FE04E7" w:rsidRPr="00960FF5" w:rsidRDefault="00FE04E7" w:rsidP="00FE04E7">
            <w:pPr>
              <w:jc w:val="both"/>
              <w:rPr>
                <w:b w:val="0"/>
                <w:sz w:val="18"/>
                <w:szCs w:val="18"/>
                <w:lang w:val="en-GB"/>
              </w:rPr>
            </w:pPr>
            <w:r w:rsidRPr="00960FF5">
              <w:rPr>
                <w:b w:val="0"/>
                <w:sz w:val="18"/>
                <w:szCs w:val="18"/>
                <w:lang w:val="en-GB"/>
              </w:rPr>
              <w:t xml:space="preserve">. </w:t>
            </w:r>
          </w:p>
          <w:p w14:paraId="018CC723" w14:textId="4B59E5F2" w:rsidR="00FE04E7" w:rsidRPr="00960FF5" w:rsidRDefault="00FE04E7" w:rsidP="00FE04E7">
            <w:pPr>
              <w:pStyle w:val="Lers"/>
              <w:rPr>
                <w:bCs/>
                <w:lang w:val="en-GB"/>
              </w:rPr>
            </w:pPr>
          </w:p>
        </w:tc>
      </w:tr>
      <w:tr w:rsidR="00FE04E7" w:rsidRPr="00960FF5" w14:paraId="0310600C" w14:textId="77777777" w:rsidTr="008A74BC">
        <w:trPr>
          <w:cantSplit/>
          <w:trHeight w:val="278"/>
          <w:jc w:val="center"/>
        </w:trPr>
        <w:tc>
          <w:tcPr>
            <w:tcW w:w="10547" w:type="dxa"/>
            <w:gridSpan w:val="24"/>
            <w:shd w:val="clear" w:color="auto" w:fill="C0C0C0"/>
            <w:vAlign w:val="center"/>
          </w:tcPr>
          <w:p w14:paraId="36F8D501" w14:textId="77777777" w:rsidR="00FE04E7" w:rsidRPr="00960FF5" w:rsidRDefault="00FE04E7" w:rsidP="00FE04E7">
            <w:pPr>
              <w:pStyle w:val="Cmsor2"/>
              <w:jc w:val="center"/>
              <w:rPr>
                <w:b/>
                <w:bCs/>
                <w:lang w:val="en-GB"/>
              </w:rPr>
            </w:pPr>
            <w:r w:rsidRPr="00960FF5">
              <w:rPr>
                <w:b/>
                <w:bCs/>
                <w:lang w:val="en-GB"/>
              </w:rPr>
              <w:t xml:space="preserve">A </w:t>
            </w:r>
            <w:proofErr w:type="spellStart"/>
            <w:r w:rsidRPr="00960FF5">
              <w:rPr>
                <w:b/>
                <w:bCs/>
                <w:lang w:val="en-GB"/>
              </w:rPr>
              <w:t>tárgy</w:t>
            </w:r>
            <w:proofErr w:type="spellEnd"/>
            <w:r w:rsidRPr="00960FF5">
              <w:rPr>
                <w:b/>
                <w:bCs/>
                <w:lang w:val="en-GB"/>
              </w:rPr>
              <w:t xml:space="preserve"> </w:t>
            </w:r>
            <w:proofErr w:type="spellStart"/>
            <w:r w:rsidRPr="00960FF5">
              <w:rPr>
                <w:b/>
                <w:bCs/>
                <w:lang w:val="en-GB"/>
              </w:rPr>
              <w:t>részletes</w:t>
            </w:r>
            <w:proofErr w:type="spellEnd"/>
            <w:r w:rsidRPr="00960FF5">
              <w:rPr>
                <w:b/>
                <w:bCs/>
                <w:lang w:val="en-GB"/>
              </w:rPr>
              <w:t xml:space="preserve"> </w:t>
            </w:r>
            <w:proofErr w:type="spellStart"/>
            <w:r w:rsidRPr="00960FF5">
              <w:rPr>
                <w:b/>
                <w:bCs/>
                <w:lang w:val="en-GB"/>
              </w:rPr>
              <w:t>leírása</w:t>
            </w:r>
            <w:proofErr w:type="spellEnd"/>
            <w:r w:rsidRPr="00960FF5">
              <w:rPr>
                <w:b/>
                <w:bCs/>
                <w:lang w:val="en-GB"/>
              </w:rPr>
              <w:t xml:space="preserve">, </w:t>
            </w:r>
            <w:proofErr w:type="spellStart"/>
            <w:r w:rsidRPr="00960FF5">
              <w:rPr>
                <w:b/>
                <w:bCs/>
                <w:lang w:val="en-GB"/>
              </w:rPr>
              <w:t>ütemezés</w:t>
            </w:r>
            <w:proofErr w:type="spellEnd"/>
            <w:r w:rsidRPr="00960FF5">
              <w:rPr>
                <w:b/>
                <w:bCs/>
                <w:lang w:val="en-GB"/>
              </w:rPr>
              <w:t>:</w:t>
            </w:r>
          </w:p>
        </w:tc>
      </w:tr>
      <w:tr w:rsidR="00FE04E7" w:rsidRPr="00960FF5" w14:paraId="31FB6977" w14:textId="77777777" w:rsidTr="008A74BC">
        <w:trPr>
          <w:cantSplit/>
          <w:trHeight w:val="278"/>
          <w:jc w:val="center"/>
        </w:trPr>
        <w:tc>
          <w:tcPr>
            <w:tcW w:w="10547" w:type="dxa"/>
            <w:gridSpan w:val="24"/>
            <w:shd w:val="clear" w:color="auto" w:fill="C0C0C0"/>
            <w:vAlign w:val="center"/>
          </w:tcPr>
          <w:p w14:paraId="26414B88" w14:textId="77777777" w:rsidR="00FE04E7" w:rsidRPr="00960FF5" w:rsidRDefault="00FE04E7" w:rsidP="00FE04E7">
            <w:pPr>
              <w:pStyle w:val="Cmsor2"/>
              <w:jc w:val="center"/>
              <w:rPr>
                <w:i w:val="0"/>
                <w:iCs w:val="0"/>
                <w:color w:val="FF0000"/>
                <w:sz w:val="24"/>
                <w:szCs w:val="24"/>
                <w:lang w:val="en-GB"/>
              </w:rPr>
            </w:pPr>
            <w:proofErr w:type="spellStart"/>
            <w:r w:rsidRPr="00960FF5">
              <w:rPr>
                <w:i w:val="0"/>
                <w:iCs w:val="0"/>
                <w:sz w:val="24"/>
                <w:szCs w:val="24"/>
                <w:lang w:val="en-GB"/>
              </w:rPr>
              <w:t>Előadás</w:t>
            </w:r>
            <w:proofErr w:type="spellEnd"/>
            <w:r w:rsidRPr="00960FF5">
              <w:rPr>
                <w:i w:val="0"/>
                <w:iCs w:val="0"/>
                <w:sz w:val="24"/>
                <w:szCs w:val="24"/>
                <w:lang w:val="en-GB"/>
              </w:rPr>
              <w:t xml:space="preserve"> a Moodle-n </w:t>
            </w:r>
            <w:proofErr w:type="spellStart"/>
            <w:r w:rsidRPr="00960FF5">
              <w:rPr>
                <w:i w:val="0"/>
                <w:iCs w:val="0"/>
                <w:sz w:val="24"/>
                <w:szCs w:val="24"/>
                <w:lang w:val="en-GB"/>
              </w:rPr>
              <w:t>keresztül</w:t>
            </w:r>
            <w:proofErr w:type="spellEnd"/>
          </w:p>
        </w:tc>
      </w:tr>
      <w:tr w:rsidR="00FE04E7" w:rsidRPr="00960FF5" w14:paraId="13FA30BB" w14:textId="77777777" w:rsidTr="00383855">
        <w:trPr>
          <w:cantSplit/>
          <w:trHeight w:val="791"/>
          <w:jc w:val="center"/>
        </w:trPr>
        <w:tc>
          <w:tcPr>
            <w:tcW w:w="737" w:type="dxa"/>
            <w:shd w:val="clear" w:color="auto" w:fill="C0C0C0"/>
            <w:vAlign w:val="center"/>
          </w:tcPr>
          <w:p w14:paraId="1509C889" w14:textId="77777777" w:rsidR="00FE04E7" w:rsidRPr="00960FF5" w:rsidRDefault="00FE04E7" w:rsidP="00FE04E7">
            <w:pPr>
              <w:pStyle w:val="Lers"/>
              <w:jc w:val="center"/>
              <w:rPr>
                <w:lang w:val="en-GB"/>
              </w:rPr>
            </w:pPr>
            <w:r w:rsidRPr="00960FF5">
              <w:rPr>
                <w:lang w:val="en-GB"/>
              </w:rPr>
              <w:t>Okta-</w:t>
            </w:r>
            <w:proofErr w:type="spellStart"/>
            <w:r w:rsidRPr="00960FF5">
              <w:rPr>
                <w:lang w:val="en-GB"/>
              </w:rPr>
              <w:t>tási</w:t>
            </w:r>
            <w:proofErr w:type="spellEnd"/>
            <w:r w:rsidRPr="00960FF5">
              <w:rPr>
                <w:lang w:val="en-GB"/>
              </w:rPr>
              <w:t xml:space="preserve"> </w:t>
            </w:r>
            <w:proofErr w:type="spellStart"/>
            <w:r w:rsidRPr="00960FF5">
              <w:rPr>
                <w:lang w:val="en-GB"/>
              </w:rPr>
              <w:t>hét</w:t>
            </w:r>
            <w:proofErr w:type="spellEnd"/>
          </w:p>
        </w:tc>
        <w:tc>
          <w:tcPr>
            <w:tcW w:w="849" w:type="dxa"/>
            <w:shd w:val="clear" w:color="auto" w:fill="C0C0C0"/>
            <w:vAlign w:val="center"/>
          </w:tcPr>
          <w:p w14:paraId="335EDC21" w14:textId="77777777" w:rsidR="00FE04E7" w:rsidRPr="00960FF5" w:rsidRDefault="00FE04E7" w:rsidP="00FE04E7">
            <w:pPr>
              <w:pStyle w:val="Lers"/>
              <w:jc w:val="center"/>
              <w:rPr>
                <w:lang w:val="en-GB"/>
              </w:rPr>
            </w:pPr>
            <w:proofErr w:type="spellStart"/>
            <w:r w:rsidRPr="00960FF5">
              <w:rPr>
                <w:lang w:val="en-GB"/>
              </w:rPr>
              <w:t>Időpont</w:t>
            </w:r>
            <w:proofErr w:type="spellEnd"/>
            <w:r w:rsidRPr="00960FF5">
              <w:rPr>
                <w:lang w:val="en-GB"/>
              </w:rPr>
              <w:t xml:space="preserve"> (</w:t>
            </w:r>
            <w:proofErr w:type="spellStart"/>
            <w:r w:rsidRPr="00960FF5">
              <w:rPr>
                <w:lang w:val="en-GB"/>
              </w:rPr>
              <w:t>hónap</w:t>
            </w:r>
            <w:proofErr w:type="spellEnd"/>
            <w:r w:rsidRPr="00960FF5">
              <w:rPr>
                <w:lang w:val="en-GB"/>
              </w:rPr>
              <w:t>)</w:t>
            </w:r>
          </w:p>
        </w:tc>
        <w:tc>
          <w:tcPr>
            <w:tcW w:w="8961" w:type="dxa"/>
            <w:gridSpan w:val="22"/>
            <w:shd w:val="clear" w:color="auto" w:fill="C0C0C0"/>
            <w:vAlign w:val="center"/>
          </w:tcPr>
          <w:p w14:paraId="592FA5D8" w14:textId="77777777" w:rsidR="00FE04E7" w:rsidRPr="00960FF5" w:rsidRDefault="00FE04E7" w:rsidP="00FE04E7">
            <w:pPr>
              <w:pStyle w:val="Lers"/>
              <w:jc w:val="center"/>
              <w:rPr>
                <w:lang w:val="en-GB"/>
              </w:rPr>
            </w:pPr>
            <w:proofErr w:type="spellStart"/>
            <w:r w:rsidRPr="00960FF5">
              <w:rPr>
                <w:lang w:val="en-GB"/>
              </w:rPr>
              <w:t>Témakör</w:t>
            </w:r>
            <w:proofErr w:type="spellEnd"/>
          </w:p>
        </w:tc>
      </w:tr>
      <w:tr w:rsidR="00FE04E7" w:rsidRPr="00960FF5" w14:paraId="5FC2291C" w14:textId="77777777" w:rsidTr="00383855">
        <w:trPr>
          <w:cantSplit/>
          <w:trHeight w:val="454"/>
          <w:jc w:val="center"/>
        </w:trPr>
        <w:tc>
          <w:tcPr>
            <w:tcW w:w="737" w:type="dxa"/>
            <w:vAlign w:val="center"/>
          </w:tcPr>
          <w:p w14:paraId="002C2092" w14:textId="77777777" w:rsidR="00FE04E7" w:rsidRPr="00960FF5" w:rsidRDefault="00FE04E7" w:rsidP="00FE04E7">
            <w:pPr>
              <w:pStyle w:val="Lers"/>
              <w:jc w:val="center"/>
              <w:rPr>
                <w:lang w:val="en-GB"/>
              </w:rPr>
            </w:pPr>
            <w:r w:rsidRPr="00960FF5">
              <w:rPr>
                <w:lang w:val="en-GB"/>
              </w:rPr>
              <w:t>1.</w:t>
            </w:r>
          </w:p>
        </w:tc>
        <w:tc>
          <w:tcPr>
            <w:tcW w:w="849" w:type="dxa"/>
            <w:vAlign w:val="center"/>
          </w:tcPr>
          <w:p w14:paraId="37EA4214" w14:textId="3B29873B" w:rsidR="00FE04E7" w:rsidRPr="00960FF5" w:rsidRDefault="00520A35" w:rsidP="00FE04E7">
            <w:pPr>
              <w:pStyle w:val="Lers"/>
              <w:jc w:val="center"/>
              <w:rPr>
                <w:lang w:val="en-GB"/>
              </w:rPr>
            </w:pPr>
            <w:r w:rsidRPr="00960FF5">
              <w:rPr>
                <w:lang w:val="en-GB"/>
              </w:rPr>
              <w:t>09.</w:t>
            </w:r>
          </w:p>
        </w:tc>
        <w:tc>
          <w:tcPr>
            <w:tcW w:w="8961" w:type="dxa"/>
            <w:gridSpan w:val="22"/>
            <w:vAlign w:val="center"/>
          </w:tcPr>
          <w:p w14:paraId="30F5C638" w14:textId="5A1A2780" w:rsidR="00FE04E7" w:rsidRPr="00960FF5" w:rsidRDefault="00337E42" w:rsidP="00677511">
            <w:pPr>
              <w:adjustRightInd w:val="0"/>
              <w:spacing w:before="0" w:after="0"/>
              <w:jc w:val="both"/>
              <w:rPr>
                <w:b w:val="0"/>
                <w:bCs w:val="0"/>
                <w:sz w:val="18"/>
                <w:szCs w:val="18"/>
                <w:lang w:val="en-GB"/>
              </w:rPr>
            </w:pPr>
            <w:r w:rsidRPr="00960FF5">
              <w:rPr>
                <w:b w:val="0"/>
                <w:bCs w:val="0"/>
                <w:sz w:val="18"/>
                <w:szCs w:val="18"/>
                <w:lang w:val="en-GB"/>
              </w:rPr>
              <w:t>Introduction to Environmental &amp; Resource Economics, Environmental economics is the subset of economics that is concerned with the efficient allocation of environmental resources. The environment provides both a direct value as well as raw material intended for economic activity, thus making the environment and the economy interdependent.</w:t>
            </w:r>
          </w:p>
        </w:tc>
      </w:tr>
      <w:tr w:rsidR="00FE04E7" w:rsidRPr="00960FF5" w14:paraId="633ECBF0" w14:textId="77777777" w:rsidTr="00383855">
        <w:trPr>
          <w:cantSplit/>
          <w:trHeight w:val="454"/>
          <w:jc w:val="center"/>
        </w:trPr>
        <w:tc>
          <w:tcPr>
            <w:tcW w:w="737" w:type="dxa"/>
            <w:vAlign w:val="center"/>
          </w:tcPr>
          <w:p w14:paraId="36AFFE0D" w14:textId="77777777" w:rsidR="00FE04E7" w:rsidRPr="00960FF5" w:rsidRDefault="00FE04E7" w:rsidP="00FE04E7">
            <w:pPr>
              <w:pStyle w:val="Lers"/>
              <w:jc w:val="center"/>
              <w:rPr>
                <w:lang w:val="en-GB"/>
              </w:rPr>
            </w:pPr>
            <w:r w:rsidRPr="00960FF5">
              <w:rPr>
                <w:lang w:val="en-GB"/>
              </w:rPr>
              <w:t>2.</w:t>
            </w:r>
          </w:p>
        </w:tc>
        <w:tc>
          <w:tcPr>
            <w:tcW w:w="849" w:type="dxa"/>
            <w:vAlign w:val="center"/>
          </w:tcPr>
          <w:p w14:paraId="18B1FB43" w14:textId="4CF55E2F" w:rsidR="00FE04E7" w:rsidRPr="00960FF5" w:rsidRDefault="00520A35" w:rsidP="00FE04E7">
            <w:pPr>
              <w:pStyle w:val="Lers"/>
              <w:jc w:val="center"/>
              <w:rPr>
                <w:lang w:val="en-GB"/>
              </w:rPr>
            </w:pPr>
            <w:r w:rsidRPr="00960FF5">
              <w:rPr>
                <w:lang w:val="en-GB"/>
              </w:rPr>
              <w:t>09.</w:t>
            </w:r>
          </w:p>
        </w:tc>
        <w:tc>
          <w:tcPr>
            <w:tcW w:w="8961" w:type="dxa"/>
            <w:gridSpan w:val="22"/>
            <w:vAlign w:val="center"/>
          </w:tcPr>
          <w:p w14:paraId="55B4D558" w14:textId="6F791487" w:rsidR="00337E42" w:rsidRPr="00960FF5" w:rsidRDefault="00337E42" w:rsidP="00677511">
            <w:pPr>
              <w:adjustRightInd w:val="0"/>
              <w:spacing w:before="0" w:after="0"/>
              <w:jc w:val="both"/>
              <w:rPr>
                <w:b w:val="0"/>
                <w:bCs w:val="0"/>
                <w:sz w:val="18"/>
                <w:szCs w:val="18"/>
                <w:lang w:val="en-GB"/>
              </w:rPr>
            </w:pPr>
            <w:r w:rsidRPr="00960FF5">
              <w:rPr>
                <w:b w:val="0"/>
                <w:bCs w:val="0"/>
                <w:sz w:val="18"/>
                <w:szCs w:val="18"/>
                <w:lang w:val="en-GB"/>
              </w:rPr>
              <w:t>The “law of diminishing returns” is one of the best-known principles outside</w:t>
            </w:r>
            <w:r w:rsidR="00677511" w:rsidRPr="00960FF5">
              <w:rPr>
                <w:b w:val="0"/>
                <w:bCs w:val="0"/>
                <w:sz w:val="18"/>
                <w:szCs w:val="18"/>
                <w:lang w:val="en-GB"/>
              </w:rPr>
              <w:t xml:space="preserve"> </w:t>
            </w:r>
            <w:r w:rsidRPr="00960FF5">
              <w:rPr>
                <w:b w:val="0"/>
                <w:bCs w:val="0"/>
                <w:sz w:val="18"/>
                <w:szCs w:val="18"/>
                <w:lang w:val="en-GB"/>
              </w:rPr>
              <w:t>the field of economics. It was first developed in 1767 by the French economist</w:t>
            </w:r>
            <w:r w:rsidR="00677511" w:rsidRPr="00960FF5">
              <w:rPr>
                <w:b w:val="0"/>
                <w:bCs w:val="0"/>
                <w:sz w:val="18"/>
                <w:szCs w:val="18"/>
                <w:lang w:val="en-GB"/>
              </w:rPr>
              <w:t xml:space="preserve"> </w:t>
            </w:r>
            <w:r w:rsidRPr="00960FF5">
              <w:rPr>
                <w:b w:val="0"/>
                <w:bCs w:val="0"/>
                <w:sz w:val="18"/>
                <w:szCs w:val="18"/>
                <w:lang w:val="en-GB"/>
              </w:rPr>
              <w:t>Turgot in relation to agricultural production, but it is most often associated with</w:t>
            </w:r>
            <w:r w:rsidR="00677511" w:rsidRPr="00960FF5">
              <w:rPr>
                <w:b w:val="0"/>
                <w:bCs w:val="0"/>
                <w:sz w:val="18"/>
                <w:szCs w:val="18"/>
                <w:lang w:val="en-GB"/>
              </w:rPr>
              <w:t xml:space="preserve"> </w:t>
            </w:r>
            <w:r w:rsidRPr="00960FF5">
              <w:rPr>
                <w:b w:val="0"/>
                <w:bCs w:val="0"/>
                <w:sz w:val="18"/>
                <w:szCs w:val="18"/>
                <w:lang w:val="en-GB"/>
              </w:rPr>
              <w:t>Thomas Malthus and David Ricardo. They believed that human population</w:t>
            </w:r>
          </w:p>
          <w:p w14:paraId="7F00F833" w14:textId="7782742B" w:rsidR="00FE04E7" w:rsidRPr="00960FF5" w:rsidRDefault="00337E42" w:rsidP="00677511">
            <w:pPr>
              <w:adjustRightInd w:val="0"/>
              <w:spacing w:before="0" w:after="0"/>
              <w:jc w:val="both"/>
              <w:rPr>
                <w:b w:val="0"/>
                <w:bCs w:val="0"/>
                <w:sz w:val="18"/>
                <w:szCs w:val="18"/>
                <w:lang w:val="en-GB"/>
              </w:rPr>
            </w:pPr>
            <w:r w:rsidRPr="00960FF5">
              <w:rPr>
                <w:b w:val="0"/>
                <w:bCs w:val="0"/>
                <w:sz w:val="18"/>
                <w:szCs w:val="18"/>
                <w:lang w:val="en-GB"/>
              </w:rPr>
              <w:t>would eventually outpace the production of food since land was an integral</w:t>
            </w:r>
            <w:r w:rsidR="00677511" w:rsidRPr="00960FF5">
              <w:rPr>
                <w:b w:val="0"/>
                <w:bCs w:val="0"/>
                <w:sz w:val="18"/>
                <w:szCs w:val="18"/>
                <w:lang w:val="en-GB"/>
              </w:rPr>
              <w:t xml:space="preserve"> </w:t>
            </w:r>
            <w:r w:rsidRPr="00960FF5">
              <w:rPr>
                <w:b w:val="0"/>
                <w:bCs w:val="0"/>
                <w:sz w:val="18"/>
                <w:szCs w:val="18"/>
                <w:lang w:val="en-GB"/>
              </w:rPr>
              <w:t>factor in limited supply, marginal return or marginal benefit</w:t>
            </w:r>
            <w:r w:rsidR="00677511" w:rsidRPr="00960FF5">
              <w:rPr>
                <w:b w:val="0"/>
                <w:bCs w:val="0"/>
                <w:sz w:val="18"/>
                <w:szCs w:val="18"/>
                <w:lang w:val="en-GB"/>
              </w:rPr>
              <w:t>.</w:t>
            </w:r>
          </w:p>
        </w:tc>
      </w:tr>
      <w:tr w:rsidR="00FE04E7" w:rsidRPr="00960FF5" w14:paraId="2984C87F" w14:textId="77777777" w:rsidTr="00383855">
        <w:trPr>
          <w:cantSplit/>
          <w:trHeight w:val="454"/>
          <w:jc w:val="center"/>
        </w:trPr>
        <w:tc>
          <w:tcPr>
            <w:tcW w:w="737" w:type="dxa"/>
            <w:vAlign w:val="center"/>
          </w:tcPr>
          <w:p w14:paraId="7B22A980" w14:textId="77777777" w:rsidR="00FE04E7" w:rsidRPr="00960FF5" w:rsidRDefault="00FE04E7" w:rsidP="00FE04E7">
            <w:pPr>
              <w:pStyle w:val="Lers"/>
              <w:jc w:val="center"/>
              <w:rPr>
                <w:lang w:val="en-GB"/>
              </w:rPr>
            </w:pPr>
            <w:r w:rsidRPr="00960FF5">
              <w:rPr>
                <w:lang w:val="en-GB"/>
              </w:rPr>
              <w:t>3.</w:t>
            </w:r>
          </w:p>
        </w:tc>
        <w:tc>
          <w:tcPr>
            <w:tcW w:w="849" w:type="dxa"/>
            <w:vAlign w:val="center"/>
          </w:tcPr>
          <w:p w14:paraId="7BCD823E" w14:textId="3110D00E" w:rsidR="00FE04E7" w:rsidRPr="00960FF5" w:rsidRDefault="00C203C6" w:rsidP="00FE04E7">
            <w:pPr>
              <w:pStyle w:val="Lers"/>
              <w:jc w:val="center"/>
              <w:rPr>
                <w:lang w:val="en-GB"/>
              </w:rPr>
            </w:pPr>
            <w:r w:rsidRPr="00960FF5">
              <w:rPr>
                <w:lang w:val="en-GB"/>
              </w:rPr>
              <w:t>1</w:t>
            </w:r>
            <w:r w:rsidR="00520A35" w:rsidRPr="00960FF5">
              <w:rPr>
                <w:lang w:val="en-GB"/>
              </w:rPr>
              <w:t>0.</w:t>
            </w:r>
          </w:p>
        </w:tc>
        <w:tc>
          <w:tcPr>
            <w:tcW w:w="8961" w:type="dxa"/>
            <w:gridSpan w:val="22"/>
            <w:vAlign w:val="center"/>
          </w:tcPr>
          <w:p w14:paraId="160A7059" w14:textId="66E6B5EF" w:rsidR="00FE04E7" w:rsidRPr="00960FF5" w:rsidRDefault="002E3C1C" w:rsidP="00677511">
            <w:pPr>
              <w:adjustRightInd w:val="0"/>
              <w:spacing w:before="0" w:after="0"/>
              <w:jc w:val="both"/>
              <w:rPr>
                <w:b w:val="0"/>
                <w:bCs w:val="0"/>
                <w:sz w:val="18"/>
                <w:szCs w:val="18"/>
                <w:lang w:val="en-GB"/>
              </w:rPr>
            </w:pPr>
            <w:r w:rsidRPr="00960FF5">
              <w:rPr>
                <w:b w:val="0"/>
                <w:bCs w:val="0"/>
                <w:sz w:val="18"/>
                <w:szCs w:val="18"/>
                <w:lang w:val="en-GB"/>
              </w:rPr>
              <w:t>Changes in population can have a variety of economic, ecological, and social</w:t>
            </w:r>
            <w:r w:rsidR="00677511" w:rsidRPr="00960FF5">
              <w:rPr>
                <w:b w:val="0"/>
                <w:bCs w:val="0"/>
                <w:sz w:val="18"/>
                <w:szCs w:val="18"/>
                <w:lang w:val="en-GB"/>
              </w:rPr>
              <w:t xml:space="preserve"> </w:t>
            </w:r>
            <w:r w:rsidRPr="00960FF5">
              <w:rPr>
                <w:b w:val="0"/>
                <w:bCs w:val="0"/>
                <w:sz w:val="18"/>
                <w:szCs w:val="18"/>
                <w:lang w:val="en-GB"/>
              </w:rPr>
              <w:t>implications. One population issue is that of carrying capacity – the number of</w:t>
            </w:r>
            <w:r w:rsidR="00677511" w:rsidRPr="00960FF5">
              <w:rPr>
                <w:b w:val="0"/>
                <w:bCs w:val="0"/>
                <w:sz w:val="18"/>
                <w:szCs w:val="18"/>
                <w:lang w:val="en-GB"/>
              </w:rPr>
              <w:t xml:space="preserve"> </w:t>
            </w:r>
            <w:r w:rsidRPr="00960FF5">
              <w:rPr>
                <w:b w:val="0"/>
                <w:bCs w:val="0"/>
                <w:sz w:val="18"/>
                <w:szCs w:val="18"/>
                <w:lang w:val="en-GB"/>
              </w:rPr>
              <w:t>individuals an ecosystem can support without having any negative effects. It</w:t>
            </w:r>
            <w:r w:rsidR="00677511" w:rsidRPr="00960FF5">
              <w:rPr>
                <w:b w:val="0"/>
                <w:bCs w:val="0"/>
                <w:sz w:val="18"/>
                <w:szCs w:val="18"/>
                <w:lang w:val="en-GB"/>
              </w:rPr>
              <w:t xml:space="preserve"> </w:t>
            </w:r>
            <w:r w:rsidRPr="00960FF5">
              <w:rPr>
                <w:b w:val="0"/>
                <w:bCs w:val="0"/>
                <w:sz w:val="18"/>
                <w:szCs w:val="18"/>
                <w:lang w:val="en-GB"/>
              </w:rPr>
              <w:t>also includes a limit of resources and pollution levels that can be maintained</w:t>
            </w:r>
            <w:r w:rsidR="00677511" w:rsidRPr="00960FF5">
              <w:rPr>
                <w:b w:val="0"/>
                <w:bCs w:val="0"/>
                <w:sz w:val="18"/>
                <w:szCs w:val="18"/>
                <w:lang w:val="en-GB"/>
              </w:rPr>
              <w:t xml:space="preserve"> </w:t>
            </w:r>
            <w:r w:rsidRPr="00960FF5">
              <w:rPr>
                <w:b w:val="0"/>
                <w:bCs w:val="0"/>
                <w:sz w:val="18"/>
                <w:szCs w:val="18"/>
                <w:lang w:val="en-GB"/>
              </w:rPr>
              <w:t>without experiencing high levels of change. If carrying capacity is exceeded,</w:t>
            </w:r>
            <w:r w:rsidR="00677511" w:rsidRPr="00960FF5">
              <w:rPr>
                <w:b w:val="0"/>
                <w:bCs w:val="0"/>
                <w:sz w:val="18"/>
                <w:szCs w:val="18"/>
                <w:lang w:val="en-GB"/>
              </w:rPr>
              <w:t xml:space="preserve"> </w:t>
            </w:r>
            <w:r w:rsidRPr="00960FF5">
              <w:rPr>
                <w:b w:val="0"/>
                <w:bCs w:val="0"/>
                <w:sz w:val="18"/>
                <w:szCs w:val="18"/>
                <w:lang w:val="en-GB"/>
              </w:rPr>
              <w:t>living organisms must adapt to new levels of consumption or find alternative</w:t>
            </w:r>
            <w:r w:rsidR="00677511" w:rsidRPr="00960FF5">
              <w:rPr>
                <w:b w:val="0"/>
                <w:bCs w:val="0"/>
                <w:sz w:val="18"/>
                <w:szCs w:val="18"/>
                <w:lang w:val="en-GB"/>
              </w:rPr>
              <w:t xml:space="preserve"> </w:t>
            </w:r>
            <w:r w:rsidRPr="00960FF5">
              <w:rPr>
                <w:b w:val="0"/>
                <w:bCs w:val="0"/>
                <w:sz w:val="18"/>
                <w:szCs w:val="18"/>
                <w:lang w:val="en-GB"/>
              </w:rPr>
              <w:t>resources.</w:t>
            </w:r>
          </w:p>
        </w:tc>
      </w:tr>
      <w:tr w:rsidR="00FE04E7" w:rsidRPr="00960FF5" w14:paraId="08F72E05" w14:textId="77777777" w:rsidTr="00383855">
        <w:trPr>
          <w:cantSplit/>
          <w:trHeight w:val="454"/>
          <w:jc w:val="center"/>
        </w:trPr>
        <w:tc>
          <w:tcPr>
            <w:tcW w:w="737" w:type="dxa"/>
            <w:vAlign w:val="center"/>
          </w:tcPr>
          <w:p w14:paraId="660C7285" w14:textId="77777777" w:rsidR="00FE04E7" w:rsidRPr="00960FF5" w:rsidRDefault="00FE04E7" w:rsidP="00FE04E7">
            <w:pPr>
              <w:pStyle w:val="Lers"/>
              <w:jc w:val="center"/>
              <w:rPr>
                <w:lang w:val="en-GB"/>
              </w:rPr>
            </w:pPr>
            <w:r w:rsidRPr="00960FF5">
              <w:rPr>
                <w:lang w:val="en-GB"/>
              </w:rPr>
              <w:t>4.</w:t>
            </w:r>
          </w:p>
        </w:tc>
        <w:tc>
          <w:tcPr>
            <w:tcW w:w="849" w:type="dxa"/>
            <w:vAlign w:val="center"/>
          </w:tcPr>
          <w:p w14:paraId="069255FA" w14:textId="77D546FB" w:rsidR="00FE04E7" w:rsidRPr="00960FF5" w:rsidRDefault="00C203C6" w:rsidP="00FE04E7">
            <w:pPr>
              <w:pStyle w:val="Lers"/>
              <w:jc w:val="center"/>
              <w:rPr>
                <w:lang w:val="en-GB"/>
              </w:rPr>
            </w:pPr>
            <w:r w:rsidRPr="00960FF5">
              <w:rPr>
                <w:lang w:val="en-GB"/>
              </w:rPr>
              <w:t>10</w:t>
            </w:r>
            <w:r w:rsidR="00520A35" w:rsidRPr="00960FF5">
              <w:rPr>
                <w:lang w:val="en-GB"/>
              </w:rPr>
              <w:t>.</w:t>
            </w:r>
          </w:p>
        </w:tc>
        <w:tc>
          <w:tcPr>
            <w:tcW w:w="8961" w:type="dxa"/>
            <w:gridSpan w:val="22"/>
            <w:vAlign w:val="center"/>
          </w:tcPr>
          <w:p w14:paraId="36F8FC63" w14:textId="7A513AB8" w:rsidR="00FE04E7" w:rsidRPr="00960FF5" w:rsidRDefault="00D60D9E" w:rsidP="00677511">
            <w:pPr>
              <w:adjustRightInd w:val="0"/>
              <w:spacing w:before="0" w:after="0"/>
              <w:jc w:val="both"/>
              <w:rPr>
                <w:b w:val="0"/>
                <w:bCs w:val="0"/>
                <w:sz w:val="18"/>
                <w:szCs w:val="18"/>
                <w:lang w:val="en-GB"/>
              </w:rPr>
            </w:pPr>
            <w:r w:rsidRPr="00960FF5">
              <w:rPr>
                <w:b w:val="0"/>
                <w:bCs w:val="0"/>
                <w:color w:val="000000"/>
                <w:sz w:val="18"/>
                <w:szCs w:val="18"/>
                <w:lang w:val="en-GB"/>
              </w:rPr>
              <w:t>Over the past few decades, many definitions of sustainable development have</w:t>
            </w:r>
            <w:r w:rsidR="00677511" w:rsidRPr="00960FF5">
              <w:rPr>
                <w:b w:val="0"/>
                <w:bCs w:val="0"/>
                <w:color w:val="000000"/>
                <w:sz w:val="18"/>
                <w:szCs w:val="18"/>
                <w:lang w:val="en-GB"/>
              </w:rPr>
              <w:t xml:space="preserve"> </w:t>
            </w:r>
            <w:r w:rsidRPr="00960FF5">
              <w:rPr>
                <w:b w:val="0"/>
                <w:bCs w:val="0"/>
                <w:color w:val="000000"/>
                <w:sz w:val="18"/>
                <w:szCs w:val="18"/>
                <w:lang w:val="en-GB"/>
              </w:rPr>
              <w:t>been suggested and debated, resulting in a concept that has become broad and</w:t>
            </w:r>
            <w:r w:rsidR="00677511" w:rsidRPr="00960FF5">
              <w:rPr>
                <w:b w:val="0"/>
                <w:bCs w:val="0"/>
                <w:color w:val="000000"/>
                <w:sz w:val="18"/>
                <w:szCs w:val="18"/>
                <w:lang w:val="en-GB"/>
              </w:rPr>
              <w:t xml:space="preserve"> </w:t>
            </w:r>
            <w:r w:rsidRPr="00960FF5">
              <w:rPr>
                <w:b w:val="0"/>
                <w:bCs w:val="0"/>
                <w:color w:val="000000"/>
                <w:sz w:val="18"/>
                <w:szCs w:val="18"/>
                <w:lang w:val="en-GB"/>
              </w:rPr>
              <w:t>somewhat vague. In recognition of the need for a clearer understanding of</w:t>
            </w:r>
            <w:r w:rsidR="00677511" w:rsidRPr="00960FF5">
              <w:rPr>
                <w:b w:val="0"/>
                <w:bCs w:val="0"/>
                <w:color w:val="000000"/>
                <w:sz w:val="18"/>
                <w:szCs w:val="18"/>
                <w:lang w:val="en-GB"/>
              </w:rPr>
              <w:t xml:space="preserve"> </w:t>
            </w:r>
            <w:r w:rsidRPr="00960FF5">
              <w:rPr>
                <w:b w:val="0"/>
                <w:bCs w:val="0"/>
                <w:color w:val="000000"/>
                <w:sz w:val="18"/>
                <w:szCs w:val="18"/>
                <w:lang w:val="en-GB"/>
              </w:rPr>
              <w:t>sustainable development, the United Nation's World Commission on</w:t>
            </w:r>
            <w:r w:rsidR="00677511" w:rsidRPr="00960FF5">
              <w:rPr>
                <w:b w:val="0"/>
                <w:bCs w:val="0"/>
                <w:color w:val="000000"/>
                <w:sz w:val="18"/>
                <w:szCs w:val="18"/>
                <w:lang w:val="en-GB"/>
              </w:rPr>
              <w:t xml:space="preserve"> </w:t>
            </w:r>
            <w:r w:rsidRPr="00960FF5">
              <w:rPr>
                <w:b w:val="0"/>
                <w:bCs w:val="0"/>
                <w:color w:val="000000"/>
                <w:sz w:val="18"/>
                <w:szCs w:val="18"/>
                <w:lang w:val="en-GB"/>
              </w:rPr>
              <w:t>Environment and Development commissioned a study on the subject by what is</w:t>
            </w:r>
            <w:r w:rsidR="00677511" w:rsidRPr="00960FF5">
              <w:rPr>
                <w:b w:val="0"/>
                <w:bCs w:val="0"/>
                <w:color w:val="000000"/>
                <w:sz w:val="18"/>
                <w:szCs w:val="18"/>
                <w:lang w:val="en-GB"/>
              </w:rPr>
              <w:t xml:space="preserve"> </w:t>
            </w:r>
            <w:r w:rsidRPr="00960FF5">
              <w:rPr>
                <w:b w:val="0"/>
                <w:bCs w:val="0"/>
                <w:color w:val="000000"/>
                <w:sz w:val="18"/>
                <w:szCs w:val="18"/>
                <w:lang w:val="en-GB"/>
              </w:rPr>
              <w:t>now known as the Brundtland Commission. The resulting report, Our</w:t>
            </w:r>
            <w:r w:rsidR="00677511" w:rsidRPr="00960FF5">
              <w:rPr>
                <w:b w:val="0"/>
                <w:bCs w:val="0"/>
                <w:color w:val="000000"/>
                <w:sz w:val="18"/>
                <w:szCs w:val="18"/>
                <w:lang w:val="en-GB"/>
              </w:rPr>
              <w:t xml:space="preserve"> </w:t>
            </w:r>
            <w:r w:rsidRPr="00960FF5">
              <w:rPr>
                <w:b w:val="0"/>
                <w:bCs w:val="0"/>
                <w:color w:val="000000"/>
                <w:sz w:val="18"/>
                <w:szCs w:val="18"/>
                <w:lang w:val="en-GB"/>
              </w:rPr>
              <w:t>Common Future (1987)</w:t>
            </w:r>
            <w:r w:rsidR="00677511" w:rsidRPr="00960FF5">
              <w:rPr>
                <w:b w:val="0"/>
                <w:bCs w:val="0"/>
                <w:color w:val="000000"/>
                <w:sz w:val="18"/>
                <w:szCs w:val="18"/>
                <w:lang w:val="en-GB"/>
              </w:rPr>
              <w:t>.</w:t>
            </w:r>
          </w:p>
        </w:tc>
      </w:tr>
      <w:tr w:rsidR="00FE04E7" w:rsidRPr="00960FF5" w14:paraId="586137FB" w14:textId="77777777" w:rsidTr="00383855">
        <w:trPr>
          <w:cantSplit/>
          <w:trHeight w:val="454"/>
          <w:jc w:val="center"/>
        </w:trPr>
        <w:tc>
          <w:tcPr>
            <w:tcW w:w="737" w:type="dxa"/>
            <w:vAlign w:val="center"/>
          </w:tcPr>
          <w:p w14:paraId="0DAD374F" w14:textId="77777777" w:rsidR="00FE04E7" w:rsidRPr="00960FF5" w:rsidRDefault="00FE04E7" w:rsidP="00FE04E7">
            <w:pPr>
              <w:pStyle w:val="Lers"/>
              <w:jc w:val="center"/>
              <w:rPr>
                <w:lang w:val="en-GB"/>
              </w:rPr>
            </w:pPr>
            <w:r w:rsidRPr="00960FF5">
              <w:rPr>
                <w:lang w:val="en-GB"/>
              </w:rPr>
              <w:t>5.</w:t>
            </w:r>
          </w:p>
        </w:tc>
        <w:tc>
          <w:tcPr>
            <w:tcW w:w="849" w:type="dxa"/>
            <w:vAlign w:val="center"/>
          </w:tcPr>
          <w:p w14:paraId="492F7BBC" w14:textId="443C6EBB" w:rsidR="00FE04E7" w:rsidRPr="00960FF5" w:rsidRDefault="00520A35" w:rsidP="00FE04E7">
            <w:pPr>
              <w:pStyle w:val="Lers"/>
              <w:jc w:val="center"/>
              <w:rPr>
                <w:lang w:val="en-GB"/>
              </w:rPr>
            </w:pPr>
            <w:r w:rsidRPr="00960FF5">
              <w:rPr>
                <w:lang w:val="en-GB"/>
              </w:rPr>
              <w:t>1</w:t>
            </w:r>
            <w:r w:rsidR="00C203C6" w:rsidRPr="00960FF5">
              <w:rPr>
                <w:lang w:val="en-GB"/>
              </w:rPr>
              <w:t>1</w:t>
            </w:r>
            <w:r w:rsidRPr="00960FF5">
              <w:rPr>
                <w:lang w:val="en-GB"/>
              </w:rPr>
              <w:t>.</w:t>
            </w:r>
          </w:p>
        </w:tc>
        <w:tc>
          <w:tcPr>
            <w:tcW w:w="8961" w:type="dxa"/>
            <w:gridSpan w:val="22"/>
            <w:vAlign w:val="center"/>
          </w:tcPr>
          <w:p w14:paraId="3DAAB151" w14:textId="061E394C" w:rsidR="00FE04E7" w:rsidRPr="00960FF5" w:rsidRDefault="00D60D9E" w:rsidP="00677511">
            <w:pPr>
              <w:adjustRightInd w:val="0"/>
              <w:spacing w:before="0" w:after="0"/>
              <w:jc w:val="both"/>
              <w:rPr>
                <w:b w:val="0"/>
                <w:bCs w:val="0"/>
                <w:sz w:val="18"/>
                <w:szCs w:val="18"/>
                <w:lang w:val="en-GB"/>
              </w:rPr>
            </w:pPr>
            <w:r w:rsidRPr="00960FF5">
              <w:rPr>
                <w:b w:val="0"/>
                <w:bCs w:val="0"/>
                <w:color w:val="000000"/>
                <w:sz w:val="18"/>
                <w:szCs w:val="18"/>
                <w:lang w:val="en-GB"/>
              </w:rPr>
              <w:t>Two basic terms that are used most often by economists are supply and demand.</w:t>
            </w:r>
            <w:r w:rsidR="00677511" w:rsidRPr="00960FF5">
              <w:rPr>
                <w:b w:val="0"/>
                <w:bCs w:val="0"/>
                <w:color w:val="000000"/>
                <w:sz w:val="18"/>
                <w:szCs w:val="18"/>
                <w:lang w:val="en-GB"/>
              </w:rPr>
              <w:t xml:space="preserve"> </w:t>
            </w:r>
            <w:r w:rsidRPr="00960FF5">
              <w:rPr>
                <w:b w:val="0"/>
                <w:bCs w:val="0"/>
                <w:color w:val="000000"/>
                <w:sz w:val="18"/>
                <w:szCs w:val="18"/>
                <w:lang w:val="en-GB"/>
              </w:rPr>
              <w:t>How much of something that is available - the supply - and how much of</w:t>
            </w:r>
            <w:r w:rsidR="00677511" w:rsidRPr="00960FF5">
              <w:rPr>
                <w:b w:val="0"/>
                <w:bCs w:val="0"/>
                <w:color w:val="000000"/>
                <w:sz w:val="18"/>
                <w:szCs w:val="18"/>
                <w:lang w:val="en-GB"/>
              </w:rPr>
              <w:t xml:space="preserve"> </w:t>
            </w:r>
            <w:r w:rsidRPr="00960FF5">
              <w:rPr>
                <w:b w:val="0"/>
                <w:bCs w:val="0"/>
                <w:color w:val="000000"/>
                <w:sz w:val="18"/>
                <w:szCs w:val="18"/>
                <w:lang w:val="en-GB"/>
              </w:rPr>
              <w:t>something people want - the demand - are what makes a working market.</w:t>
            </w:r>
            <w:r w:rsidR="00677511" w:rsidRPr="00960FF5">
              <w:rPr>
                <w:b w:val="0"/>
                <w:bCs w:val="0"/>
                <w:color w:val="000000"/>
                <w:sz w:val="18"/>
                <w:szCs w:val="18"/>
                <w:lang w:val="en-GB"/>
              </w:rPr>
              <w:t xml:space="preserve"> </w:t>
            </w:r>
            <w:r w:rsidRPr="00960FF5">
              <w:rPr>
                <w:b w:val="0"/>
                <w:bCs w:val="0"/>
                <w:color w:val="000000"/>
                <w:sz w:val="18"/>
                <w:szCs w:val="18"/>
                <w:lang w:val="en-GB"/>
              </w:rPr>
              <w:t>Markets have existed since early in history when people bartered and made</w:t>
            </w:r>
            <w:r w:rsidR="00677511" w:rsidRPr="00960FF5">
              <w:rPr>
                <w:b w:val="0"/>
                <w:bCs w:val="0"/>
                <w:color w:val="000000"/>
                <w:sz w:val="18"/>
                <w:szCs w:val="18"/>
                <w:lang w:val="en-GB"/>
              </w:rPr>
              <w:t xml:space="preserve"> </w:t>
            </w:r>
            <w:r w:rsidRPr="00960FF5">
              <w:rPr>
                <w:b w:val="0"/>
                <w:bCs w:val="0"/>
                <w:color w:val="000000"/>
                <w:sz w:val="18"/>
                <w:szCs w:val="18"/>
                <w:lang w:val="en-GB"/>
              </w:rPr>
              <w:t>exchanges for food, trinkets, and other goods.</w:t>
            </w:r>
          </w:p>
        </w:tc>
      </w:tr>
      <w:tr w:rsidR="00FE04E7" w:rsidRPr="00960FF5" w14:paraId="65D6062D" w14:textId="77777777" w:rsidTr="00383855">
        <w:trPr>
          <w:cantSplit/>
          <w:trHeight w:val="454"/>
          <w:jc w:val="center"/>
        </w:trPr>
        <w:tc>
          <w:tcPr>
            <w:tcW w:w="737" w:type="dxa"/>
            <w:vAlign w:val="center"/>
          </w:tcPr>
          <w:p w14:paraId="24AD83EF" w14:textId="77777777" w:rsidR="00FE04E7" w:rsidRPr="00960FF5" w:rsidRDefault="00FE04E7" w:rsidP="00FE04E7">
            <w:pPr>
              <w:pStyle w:val="Lers"/>
              <w:jc w:val="center"/>
              <w:rPr>
                <w:lang w:val="en-GB"/>
              </w:rPr>
            </w:pPr>
            <w:r w:rsidRPr="00960FF5">
              <w:rPr>
                <w:lang w:val="en-GB"/>
              </w:rPr>
              <w:t>6.</w:t>
            </w:r>
          </w:p>
        </w:tc>
        <w:tc>
          <w:tcPr>
            <w:tcW w:w="849" w:type="dxa"/>
            <w:vAlign w:val="center"/>
          </w:tcPr>
          <w:p w14:paraId="2FAB22F2" w14:textId="4BCBC9DA" w:rsidR="00FE04E7" w:rsidRPr="00960FF5" w:rsidRDefault="00520A35" w:rsidP="00FE04E7">
            <w:pPr>
              <w:pStyle w:val="Lers"/>
              <w:jc w:val="center"/>
              <w:rPr>
                <w:lang w:val="en-GB"/>
              </w:rPr>
            </w:pPr>
            <w:r w:rsidRPr="00960FF5">
              <w:rPr>
                <w:lang w:val="en-GB"/>
              </w:rPr>
              <w:t>1</w:t>
            </w:r>
            <w:r w:rsidR="00C203C6" w:rsidRPr="00960FF5">
              <w:rPr>
                <w:lang w:val="en-GB"/>
              </w:rPr>
              <w:t>1</w:t>
            </w:r>
            <w:r w:rsidRPr="00960FF5">
              <w:rPr>
                <w:lang w:val="en-GB"/>
              </w:rPr>
              <w:t>.</w:t>
            </w:r>
          </w:p>
        </w:tc>
        <w:tc>
          <w:tcPr>
            <w:tcW w:w="8961" w:type="dxa"/>
            <w:gridSpan w:val="22"/>
            <w:vAlign w:val="center"/>
          </w:tcPr>
          <w:p w14:paraId="53685D74" w14:textId="29C2BAAF" w:rsidR="00FE04E7" w:rsidRPr="00960FF5" w:rsidRDefault="00D60D9E" w:rsidP="00677511">
            <w:pPr>
              <w:spacing w:before="0" w:after="0"/>
              <w:contextualSpacing/>
              <w:jc w:val="both"/>
              <w:rPr>
                <w:b w:val="0"/>
                <w:bCs w:val="0"/>
                <w:sz w:val="18"/>
                <w:szCs w:val="18"/>
                <w:lang w:val="en-GB"/>
              </w:rPr>
            </w:pPr>
            <w:r w:rsidRPr="00960FF5">
              <w:rPr>
                <w:b w:val="0"/>
                <w:bCs w:val="0"/>
                <w:color w:val="000000"/>
                <w:sz w:val="18"/>
                <w:szCs w:val="18"/>
                <w:lang w:val="en-GB"/>
              </w:rPr>
              <w:t>Externalities are unintentional side effects of an activity affecting people other than those directly involved in the activity. A negative externality is one that creates side effects that could be harmful to either the general public directly or through the environment. An example would be a factory that pollutes as a result of its production process. This pollution may pose health risks for nearby residents or degrade the quality of the air or water.</w:t>
            </w:r>
          </w:p>
        </w:tc>
      </w:tr>
      <w:tr w:rsidR="00FE04E7" w:rsidRPr="00960FF5" w14:paraId="6EFCD284" w14:textId="77777777" w:rsidTr="00383855">
        <w:trPr>
          <w:cantSplit/>
          <w:trHeight w:val="397"/>
          <w:jc w:val="center"/>
        </w:trPr>
        <w:tc>
          <w:tcPr>
            <w:tcW w:w="737" w:type="dxa"/>
            <w:vAlign w:val="center"/>
          </w:tcPr>
          <w:p w14:paraId="5EB7E0C9" w14:textId="77777777" w:rsidR="00FE04E7" w:rsidRPr="00960FF5" w:rsidRDefault="00FE04E7" w:rsidP="00FE04E7">
            <w:pPr>
              <w:pStyle w:val="Lers"/>
              <w:jc w:val="center"/>
              <w:rPr>
                <w:lang w:val="en-GB"/>
              </w:rPr>
            </w:pPr>
            <w:r w:rsidRPr="00960FF5">
              <w:rPr>
                <w:lang w:val="en-GB"/>
              </w:rPr>
              <w:lastRenderedPageBreak/>
              <w:t>7.</w:t>
            </w:r>
          </w:p>
        </w:tc>
        <w:tc>
          <w:tcPr>
            <w:tcW w:w="849" w:type="dxa"/>
            <w:vAlign w:val="center"/>
          </w:tcPr>
          <w:p w14:paraId="4F376333" w14:textId="2BA6D6D4" w:rsidR="00FE04E7" w:rsidRPr="00960FF5" w:rsidRDefault="00520A35" w:rsidP="00FE04E7">
            <w:pPr>
              <w:pStyle w:val="Lers"/>
              <w:jc w:val="center"/>
              <w:rPr>
                <w:lang w:val="en-GB"/>
              </w:rPr>
            </w:pPr>
            <w:r w:rsidRPr="00960FF5">
              <w:rPr>
                <w:lang w:val="en-GB"/>
              </w:rPr>
              <w:t>1</w:t>
            </w:r>
            <w:r w:rsidR="00C203C6" w:rsidRPr="00960FF5">
              <w:rPr>
                <w:lang w:val="en-GB"/>
              </w:rPr>
              <w:t>2</w:t>
            </w:r>
            <w:r w:rsidRPr="00960FF5">
              <w:rPr>
                <w:lang w:val="en-GB"/>
              </w:rPr>
              <w:t>.</w:t>
            </w:r>
          </w:p>
        </w:tc>
        <w:tc>
          <w:tcPr>
            <w:tcW w:w="8961" w:type="dxa"/>
            <w:gridSpan w:val="22"/>
            <w:vAlign w:val="center"/>
          </w:tcPr>
          <w:p w14:paraId="1AE56FC0" w14:textId="0E290F0C" w:rsidR="00FE04E7" w:rsidRPr="00960FF5" w:rsidRDefault="00375896" w:rsidP="00960FF5">
            <w:pPr>
              <w:pStyle w:val="NormlWeb"/>
              <w:spacing w:before="0" w:beforeAutospacing="0" w:after="0" w:afterAutospacing="0"/>
              <w:jc w:val="both"/>
              <w:textAlignment w:val="baseline"/>
              <w:rPr>
                <w:rFonts w:ascii="Arial" w:hAnsi="Arial" w:cs="Arial"/>
                <w:sz w:val="18"/>
                <w:szCs w:val="18"/>
              </w:rPr>
            </w:pPr>
            <w:r w:rsidRPr="00960FF5">
              <w:rPr>
                <w:rFonts w:ascii="Arial" w:hAnsi="Arial" w:cs="Arial"/>
                <w:sz w:val="18"/>
                <w:szCs w:val="18"/>
              </w:rPr>
              <w:t xml:space="preserve">Crisis management is basically a fate in the life of a company. To ensure liquidity and bankruptcy protection, </w:t>
            </w:r>
            <w:r w:rsidR="00960FF5" w:rsidRPr="00960FF5">
              <w:rPr>
                <w:rFonts w:ascii="Arial" w:hAnsi="Arial" w:cs="Arial"/>
                <w:sz w:val="18"/>
                <w:szCs w:val="18"/>
              </w:rPr>
              <w:t>t</w:t>
            </w:r>
            <w:r w:rsidRPr="00960FF5">
              <w:rPr>
                <w:rFonts w:ascii="Arial" w:hAnsi="Arial" w:cs="Arial"/>
                <w:sz w:val="18"/>
                <w:szCs w:val="18"/>
              </w:rPr>
              <w:t xml:space="preserve">he sincere exploration of the reasons is to face, </w:t>
            </w:r>
            <w:proofErr w:type="gramStart"/>
            <w:r w:rsidRPr="00960FF5">
              <w:rPr>
                <w:rFonts w:ascii="Arial" w:hAnsi="Arial" w:cs="Arial"/>
                <w:sz w:val="18"/>
                <w:szCs w:val="18"/>
              </w:rPr>
              <w:t>To</w:t>
            </w:r>
            <w:proofErr w:type="gramEnd"/>
            <w:r w:rsidRPr="00960FF5">
              <w:rPr>
                <w:rFonts w:ascii="Arial" w:hAnsi="Arial" w:cs="Arial"/>
                <w:sz w:val="18"/>
                <w:szCs w:val="18"/>
              </w:rPr>
              <w:t xml:space="preserve"> make a business plan, Implementation.</w:t>
            </w:r>
            <w:r w:rsidR="00960FF5" w:rsidRPr="00960FF5">
              <w:rPr>
                <w:rFonts w:ascii="Arial" w:hAnsi="Arial" w:cs="Arial"/>
                <w:sz w:val="18"/>
                <w:szCs w:val="18"/>
              </w:rPr>
              <w:t xml:space="preserve"> </w:t>
            </w:r>
            <w:r w:rsidR="00960FF5" w:rsidRPr="00960FF5">
              <w:rPr>
                <w:rStyle w:val="Erskiemels"/>
                <w:rFonts w:ascii="Arial" w:hAnsi="Arial" w:cs="Arial"/>
                <w:i w:val="0"/>
                <w:iCs w:val="0"/>
                <w:color w:val="auto"/>
                <w:sz w:val="18"/>
                <w:szCs w:val="18"/>
              </w:rPr>
              <w:t>The environmental responsibility of corporate executives in industrial states, the impact of the environmental challenge on the economy is likely to compete with the industrial revolution. However, while management science representatives are largely affordable business opportunities, businessmen largely narrowing business opportunities, increasing costs. They emphasize the decline in competitiveness and the threat of increasing uncertainty.</w:t>
            </w:r>
          </w:p>
        </w:tc>
      </w:tr>
    </w:tbl>
    <w:p w14:paraId="6E013188" w14:textId="2BEDA942" w:rsidR="00850CC0" w:rsidRPr="00960FF5" w:rsidRDefault="00850CC0">
      <w:pPr>
        <w:rPr>
          <w:lang w:val="en-GB"/>
        </w:rPr>
      </w:pPr>
    </w:p>
    <w:p w14:paraId="57831148" w14:textId="77777777" w:rsidR="0054529D" w:rsidRPr="00960FF5" w:rsidRDefault="0054529D">
      <w:pPr>
        <w:rPr>
          <w:lang w:val="en-GB"/>
        </w:rPr>
      </w:pPr>
    </w:p>
    <w:p w14:paraId="49D0C957" w14:textId="77777777" w:rsidR="00F17900" w:rsidRPr="00960FF5" w:rsidRDefault="00F17900">
      <w:pPr>
        <w:rPr>
          <w:lang w:val="en-GB"/>
        </w:rPr>
      </w:pPr>
    </w:p>
    <w:tbl>
      <w:tblPr>
        <w:tblW w:w="105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
        <w:gridCol w:w="850"/>
        <w:gridCol w:w="396"/>
        <w:gridCol w:w="8563"/>
      </w:tblGrid>
      <w:tr w:rsidR="00850CC0" w:rsidRPr="00960FF5" w14:paraId="38233B4D" w14:textId="77777777" w:rsidTr="007B6624">
        <w:trPr>
          <w:cantSplit/>
          <w:trHeight w:val="278"/>
          <w:jc w:val="center"/>
        </w:trPr>
        <w:tc>
          <w:tcPr>
            <w:tcW w:w="10547" w:type="dxa"/>
            <w:gridSpan w:val="4"/>
            <w:tcBorders>
              <w:top w:val="single" w:sz="12" w:space="0" w:color="auto"/>
            </w:tcBorders>
            <w:shd w:val="clear" w:color="auto" w:fill="C0C0C0"/>
            <w:vAlign w:val="center"/>
          </w:tcPr>
          <w:p w14:paraId="3ED623AB" w14:textId="77777777" w:rsidR="00850CC0" w:rsidRPr="00960FF5" w:rsidRDefault="003B3DA7" w:rsidP="003B3DA7">
            <w:pPr>
              <w:pStyle w:val="Cmsor2"/>
              <w:jc w:val="center"/>
              <w:rPr>
                <w:bCs/>
                <w:i w:val="0"/>
                <w:iCs w:val="0"/>
                <w:lang w:val="en-GB"/>
              </w:rPr>
            </w:pPr>
            <w:proofErr w:type="spellStart"/>
            <w:r w:rsidRPr="00960FF5">
              <w:rPr>
                <w:bCs/>
                <w:i w:val="0"/>
                <w:iCs w:val="0"/>
                <w:sz w:val="24"/>
                <w:szCs w:val="24"/>
                <w:lang w:val="en-GB"/>
              </w:rPr>
              <w:t>Gyakorlatok</w:t>
            </w:r>
            <w:proofErr w:type="spellEnd"/>
            <w:r w:rsidRPr="00960FF5">
              <w:rPr>
                <w:bCs/>
                <w:i w:val="0"/>
                <w:iCs w:val="0"/>
                <w:sz w:val="24"/>
                <w:szCs w:val="24"/>
                <w:lang w:val="en-GB"/>
              </w:rPr>
              <w:t xml:space="preserve">: </w:t>
            </w:r>
            <w:proofErr w:type="spellStart"/>
            <w:r w:rsidRPr="00960FF5">
              <w:rPr>
                <w:bCs/>
                <w:i w:val="0"/>
                <w:iCs w:val="0"/>
                <w:sz w:val="24"/>
                <w:szCs w:val="24"/>
                <w:lang w:val="en-GB"/>
              </w:rPr>
              <w:t>kontakt</w:t>
            </w:r>
            <w:proofErr w:type="spellEnd"/>
            <w:r w:rsidRPr="00960FF5">
              <w:rPr>
                <w:bCs/>
                <w:i w:val="0"/>
                <w:iCs w:val="0"/>
                <w:sz w:val="24"/>
                <w:szCs w:val="24"/>
                <w:lang w:val="en-GB"/>
              </w:rPr>
              <w:t xml:space="preserve"> </w:t>
            </w:r>
            <w:proofErr w:type="spellStart"/>
            <w:r w:rsidRPr="00960FF5">
              <w:rPr>
                <w:bCs/>
                <w:i w:val="0"/>
                <w:iCs w:val="0"/>
                <w:sz w:val="24"/>
                <w:szCs w:val="24"/>
                <w:lang w:val="en-GB"/>
              </w:rPr>
              <w:t>óra</w:t>
            </w:r>
            <w:proofErr w:type="spellEnd"/>
            <w:r w:rsidRPr="00960FF5">
              <w:rPr>
                <w:bCs/>
                <w:i w:val="0"/>
                <w:iCs w:val="0"/>
                <w:sz w:val="24"/>
                <w:szCs w:val="24"/>
                <w:lang w:val="en-GB"/>
              </w:rPr>
              <w:t xml:space="preserve"> </w:t>
            </w:r>
            <w:proofErr w:type="spellStart"/>
            <w:r w:rsidRPr="00960FF5">
              <w:rPr>
                <w:bCs/>
                <w:i w:val="0"/>
                <w:iCs w:val="0"/>
                <w:sz w:val="24"/>
                <w:szCs w:val="24"/>
                <w:lang w:val="en-GB"/>
              </w:rPr>
              <w:t>esetén</w:t>
            </w:r>
            <w:proofErr w:type="spellEnd"/>
            <w:r w:rsidRPr="00960FF5">
              <w:rPr>
                <w:bCs/>
                <w:i w:val="0"/>
                <w:iCs w:val="0"/>
                <w:sz w:val="24"/>
                <w:szCs w:val="24"/>
                <w:lang w:val="en-GB"/>
              </w:rPr>
              <w:t xml:space="preserve"> </w:t>
            </w:r>
            <w:proofErr w:type="spellStart"/>
            <w:r w:rsidRPr="00960FF5">
              <w:rPr>
                <w:bCs/>
                <w:i w:val="0"/>
                <w:iCs w:val="0"/>
                <w:sz w:val="24"/>
                <w:szCs w:val="24"/>
                <w:lang w:val="en-GB"/>
              </w:rPr>
              <w:t>tanteremben</w:t>
            </w:r>
            <w:proofErr w:type="spellEnd"/>
            <w:r w:rsidRPr="00960FF5">
              <w:rPr>
                <w:bCs/>
                <w:i w:val="0"/>
                <w:iCs w:val="0"/>
                <w:sz w:val="24"/>
                <w:szCs w:val="24"/>
                <w:lang w:val="en-GB"/>
              </w:rPr>
              <w:t xml:space="preserve"> </w:t>
            </w:r>
            <w:proofErr w:type="spellStart"/>
            <w:r w:rsidRPr="00960FF5">
              <w:rPr>
                <w:bCs/>
                <w:i w:val="0"/>
                <w:iCs w:val="0"/>
                <w:sz w:val="24"/>
                <w:szCs w:val="24"/>
                <w:lang w:val="en-GB"/>
              </w:rPr>
              <w:t>megtartva</w:t>
            </w:r>
            <w:proofErr w:type="spellEnd"/>
            <w:r w:rsidRPr="00960FF5">
              <w:rPr>
                <w:bCs/>
                <w:i w:val="0"/>
                <w:iCs w:val="0"/>
                <w:sz w:val="24"/>
                <w:szCs w:val="24"/>
                <w:lang w:val="en-GB"/>
              </w:rPr>
              <w:t xml:space="preserve">, online </w:t>
            </w:r>
            <w:proofErr w:type="spellStart"/>
            <w:r w:rsidRPr="00960FF5">
              <w:rPr>
                <w:bCs/>
                <w:i w:val="0"/>
                <w:iCs w:val="0"/>
                <w:sz w:val="24"/>
                <w:szCs w:val="24"/>
                <w:lang w:val="en-GB"/>
              </w:rPr>
              <w:t>oktatás</w:t>
            </w:r>
            <w:proofErr w:type="spellEnd"/>
            <w:r w:rsidRPr="00960FF5">
              <w:rPr>
                <w:bCs/>
                <w:i w:val="0"/>
                <w:iCs w:val="0"/>
                <w:sz w:val="24"/>
                <w:szCs w:val="24"/>
                <w:lang w:val="en-GB"/>
              </w:rPr>
              <w:t xml:space="preserve"> </w:t>
            </w:r>
            <w:proofErr w:type="spellStart"/>
            <w:r w:rsidRPr="00960FF5">
              <w:rPr>
                <w:bCs/>
                <w:i w:val="0"/>
                <w:iCs w:val="0"/>
                <w:sz w:val="24"/>
                <w:szCs w:val="24"/>
                <w:lang w:val="en-GB"/>
              </w:rPr>
              <w:t>elrendelése</w:t>
            </w:r>
            <w:proofErr w:type="spellEnd"/>
            <w:r w:rsidRPr="00960FF5">
              <w:rPr>
                <w:bCs/>
                <w:i w:val="0"/>
                <w:iCs w:val="0"/>
                <w:sz w:val="24"/>
                <w:szCs w:val="24"/>
                <w:lang w:val="en-GB"/>
              </w:rPr>
              <w:t xml:space="preserve"> </w:t>
            </w:r>
            <w:proofErr w:type="spellStart"/>
            <w:r w:rsidRPr="00960FF5">
              <w:rPr>
                <w:bCs/>
                <w:i w:val="0"/>
                <w:iCs w:val="0"/>
                <w:sz w:val="24"/>
                <w:szCs w:val="24"/>
                <w:lang w:val="en-GB"/>
              </w:rPr>
              <w:t>esetén</w:t>
            </w:r>
            <w:proofErr w:type="spellEnd"/>
            <w:r w:rsidRPr="00960FF5">
              <w:rPr>
                <w:bCs/>
                <w:i w:val="0"/>
                <w:iCs w:val="0"/>
                <w:sz w:val="24"/>
                <w:szCs w:val="24"/>
                <w:lang w:val="en-GB"/>
              </w:rPr>
              <w:t xml:space="preserve"> Teams-</w:t>
            </w:r>
            <w:proofErr w:type="spellStart"/>
            <w:r w:rsidRPr="00960FF5">
              <w:rPr>
                <w:bCs/>
                <w:i w:val="0"/>
                <w:iCs w:val="0"/>
                <w:sz w:val="24"/>
                <w:szCs w:val="24"/>
                <w:lang w:val="en-GB"/>
              </w:rPr>
              <w:t>en</w:t>
            </w:r>
            <w:proofErr w:type="spellEnd"/>
            <w:r w:rsidRPr="00960FF5">
              <w:rPr>
                <w:bCs/>
                <w:i w:val="0"/>
                <w:iCs w:val="0"/>
                <w:sz w:val="24"/>
                <w:szCs w:val="24"/>
                <w:lang w:val="en-GB"/>
              </w:rPr>
              <w:t xml:space="preserve"> </w:t>
            </w:r>
            <w:proofErr w:type="spellStart"/>
            <w:r w:rsidRPr="00960FF5">
              <w:rPr>
                <w:bCs/>
                <w:i w:val="0"/>
                <w:iCs w:val="0"/>
                <w:sz w:val="24"/>
                <w:szCs w:val="24"/>
                <w:lang w:val="en-GB"/>
              </w:rPr>
              <w:t>megtartva</w:t>
            </w:r>
            <w:proofErr w:type="spellEnd"/>
            <w:r w:rsidRPr="00960FF5">
              <w:rPr>
                <w:bCs/>
                <w:i w:val="0"/>
                <w:iCs w:val="0"/>
                <w:sz w:val="24"/>
                <w:szCs w:val="24"/>
                <w:lang w:val="en-GB"/>
              </w:rPr>
              <w:t>.</w:t>
            </w:r>
          </w:p>
        </w:tc>
      </w:tr>
      <w:tr w:rsidR="00850CC0" w:rsidRPr="00960FF5" w14:paraId="5A365A74" w14:textId="77777777" w:rsidTr="00794F54">
        <w:trPr>
          <w:cantSplit/>
          <w:trHeight w:val="512"/>
          <w:jc w:val="center"/>
        </w:trPr>
        <w:tc>
          <w:tcPr>
            <w:tcW w:w="738" w:type="dxa"/>
            <w:shd w:val="clear" w:color="auto" w:fill="C0C0C0"/>
            <w:vAlign w:val="center"/>
          </w:tcPr>
          <w:p w14:paraId="3AA6CD31" w14:textId="77777777" w:rsidR="00850CC0" w:rsidRPr="00960FF5" w:rsidRDefault="00794F54">
            <w:pPr>
              <w:pStyle w:val="Lers"/>
              <w:jc w:val="center"/>
              <w:rPr>
                <w:lang w:val="en-GB"/>
              </w:rPr>
            </w:pPr>
            <w:proofErr w:type="spellStart"/>
            <w:r w:rsidRPr="00960FF5">
              <w:rPr>
                <w:lang w:val="en-GB"/>
              </w:rPr>
              <w:t>Okta</w:t>
            </w:r>
            <w:r w:rsidR="00850CC0" w:rsidRPr="00960FF5">
              <w:rPr>
                <w:lang w:val="en-GB"/>
              </w:rPr>
              <w:t>tási</w:t>
            </w:r>
            <w:proofErr w:type="spellEnd"/>
            <w:r w:rsidR="00850CC0" w:rsidRPr="00960FF5">
              <w:rPr>
                <w:lang w:val="en-GB"/>
              </w:rPr>
              <w:t xml:space="preserve"> </w:t>
            </w:r>
            <w:proofErr w:type="spellStart"/>
            <w:r w:rsidR="00850CC0" w:rsidRPr="00960FF5">
              <w:rPr>
                <w:lang w:val="en-GB"/>
              </w:rPr>
              <w:t>hét</w:t>
            </w:r>
            <w:proofErr w:type="spellEnd"/>
          </w:p>
        </w:tc>
        <w:tc>
          <w:tcPr>
            <w:tcW w:w="850" w:type="dxa"/>
            <w:shd w:val="clear" w:color="auto" w:fill="C0C0C0"/>
            <w:vAlign w:val="center"/>
          </w:tcPr>
          <w:p w14:paraId="2C1AB0EF" w14:textId="77777777" w:rsidR="00850CC0" w:rsidRPr="00960FF5" w:rsidRDefault="00850CC0">
            <w:pPr>
              <w:pStyle w:val="Lers"/>
              <w:jc w:val="center"/>
              <w:rPr>
                <w:lang w:val="en-GB"/>
              </w:rPr>
            </w:pPr>
            <w:proofErr w:type="spellStart"/>
            <w:r w:rsidRPr="00960FF5">
              <w:rPr>
                <w:lang w:val="en-GB"/>
              </w:rPr>
              <w:t>Időpont</w:t>
            </w:r>
            <w:proofErr w:type="spellEnd"/>
            <w:r w:rsidRPr="00960FF5">
              <w:rPr>
                <w:lang w:val="en-GB"/>
              </w:rPr>
              <w:t xml:space="preserve"> (</w:t>
            </w:r>
            <w:proofErr w:type="spellStart"/>
            <w:r w:rsidRPr="00960FF5">
              <w:rPr>
                <w:lang w:val="en-GB"/>
              </w:rPr>
              <w:t>hónap</w:t>
            </w:r>
            <w:proofErr w:type="spellEnd"/>
            <w:r w:rsidRPr="00960FF5">
              <w:rPr>
                <w:lang w:val="en-GB"/>
              </w:rPr>
              <w:t>)</w:t>
            </w:r>
          </w:p>
        </w:tc>
        <w:tc>
          <w:tcPr>
            <w:tcW w:w="8959" w:type="dxa"/>
            <w:gridSpan w:val="2"/>
            <w:shd w:val="clear" w:color="auto" w:fill="C0C0C0"/>
            <w:vAlign w:val="center"/>
          </w:tcPr>
          <w:p w14:paraId="313B2965" w14:textId="77777777" w:rsidR="00850CC0" w:rsidRPr="00960FF5" w:rsidRDefault="00850CC0">
            <w:pPr>
              <w:pStyle w:val="Lers"/>
              <w:jc w:val="center"/>
              <w:rPr>
                <w:lang w:val="en-GB"/>
              </w:rPr>
            </w:pPr>
            <w:proofErr w:type="spellStart"/>
            <w:r w:rsidRPr="00960FF5">
              <w:rPr>
                <w:lang w:val="en-GB"/>
              </w:rPr>
              <w:t>Témakör</w:t>
            </w:r>
            <w:proofErr w:type="spellEnd"/>
          </w:p>
          <w:p w14:paraId="040D96E1" w14:textId="77777777" w:rsidR="009243E8" w:rsidRPr="00960FF5" w:rsidRDefault="009243E8" w:rsidP="009243E8">
            <w:pPr>
              <w:rPr>
                <w:lang w:val="en-GB"/>
              </w:rPr>
            </w:pPr>
          </w:p>
          <w:p w14:paraId="17029C64" w14:textId="45AFCB0D" w:rsidR="009243E8" w:rsidRPr="00960FF5" w:rsidRDefault="009243E8" w:rsidP="009243E8">
            <w:pPr>
              <w:rPr>
                <w:lang w:val="en-GB"/>
              </w:rPr>
            </w:pPr>
          </w:p>
        </w:tc>
      </w:tr>
      <w:tr w:rsidR="00AB78E2" w:rsidRPr="00960FF5" w14:paraId="5F18DF1B" w14:textId="77777777" w:rsidTr="00862EA3">
        <w:trPr>
          <w:cantSplit/>
          <w:trHeight w:val="467"/>
          <w:jc w:val="center"/>
        </w:trPr>
        <w:tc>
          <w:tcPr>
            <w:tcW w:w="738" w:type="dxa"/>
          </w:tcPr>
          <w:p w14:paraId="723901D5" w14:textId="77777777" w:rsidR="00AB78E2" w:rsidRPr="00960FF5" w:rsidRDefault="00AB78E2" w:rsidP="00794F54">
            <w:pPr>
              <w:pStyle w:val="Lers"/>
              <w:jc w:val="left"/>
              <w:rPr>
                <w:lang w:val="en-GB"/>
              </w:rPr>
            </w:pPr>
            <w:r w:rsidRPr="00960FF5">
              <w:rPr>
                <w:lang w:val="en-GB"/>
              </w:rPr>
              <w:t>1.</w:t>
            </w:r>
          </w:p>
        </w:tc>
        <w:tc>
          <w:tcPr>
            <w:tcW w:w="850" w:type="dxa"/>
            <w:vAlign w:val="center"/>
          </w:tcPr>
          <w:p w14:paraId="10084596" w14:textId="69BCE025" w:rsidR="00AB78E2" w:rsidRPr="00960FF5" w:rsidRDefault="003B3DA7" w:rsidP="008336A3">
            <w:pPr>
              <w:pStyle w:val="Lers"/>
              <w:jc w:val="center"/>
              <w:rPr>
                <w:lang w:val="en-GB"/>
              </w:rPr>
            </w:pPr>
            <w:r w:rsidRPr="00960FF5">
              <w:rPr>
                <w:lang w:val="en-GB"/>
              </w:rPr>
              <w:t>09.</w:t>
            </w:r>
            <w:r w:rsidR="006C46E2" w:rsidRPr="00960FF5">
              <w:rPr>
                <w:lang w:val="en-GB"/>
              </w:rPr>
              <w:t>0</w:t>
            </w:r>
            <w:r w:rsidR="0090545B" w:rsidRPr="00960FF5">
              <w:rPr>
                <w:lang w:val="en-GB"/>
              </w:rPr>
              <w:t>8</w:t>
            </w:r>
          </w:p>
        </w:tc>
        <w:tc>
          <w:tcPr>
            <w:tcW w:w="8959" w:type="dxa"/>
            <w:gridSpan w:val="2"/>
          </w:tcPr>
          <w:p w14:paraId="2862530D" w14:textId="65C34FEA" w:rsidR="00AB78E2" w:rsidRPr="00960FF5" w:rsidRDefault="00BF1409" w:rsidP="00933AE6">
            <w:pPr>
              <w:spacing w:before="0" w:after="0"/>
              <w:jc w:val="both"/>
              <w:rPr>
                <w:b w:val="0"/>
                <w:bCs w:val="0"/>
                <w:iCs/>
                <w:sz w:val="18"/>
                <w:szCs w:val="18"/>
                <w:lang w:val="en-GB"/>
              </w:rPr>
            </w:pPr>
            <w:r w:rsidRPr="00960FF5">
              <w:rPr>
                <w:b w:val="0"/>
                <w:bCs w:val="0"/>
                <w:sz w:val="18"/>
                <w:szCs w:val="18"/>
                <w:lang w:val="en-GB"/>
              </w:rPr>
              <w:t>Valuation can be a useful tool that aids in evaluating different options that a natural resource manager might face. Because our ecological resources and services are so varied in their composition, it is often difficult to examine them on the same level. However, after they are assigned a value, an environmental resource or service can then be compared to any other item with a respective value. Ecosystem valuation</w:t>
            </w:r>
            <w:r w:rsidR="00933AE6" w:rsidRPr="00960FF5">
              <w:rPr>
                <w:b w:val="0"/>
                <w:bCs w:val="0"/>
                <w:sz w:val="18"/>
                <w:szCs w:val="18"/>
                <w:lang w:val="en-GB"/>
              </w:rPr>
              <w:t>.</w:t>
            </w:r>
            <w:r w:rsidRPr="00960FF5">
              <w:rPr>
                <w:b w:val="0"/>
                <w:bCs w:val="0"/>
                <w:sz w:val="18"/>
                <w:szCs w:val="18"/>
                <w:lang w:val="en-GB"/>
              </w:rPr>
              <w:t xml:space="preserve"> </w:t>
            </w:r>
          </w:p>
        </w:tc>
      </w:tr>
      <w:tr w:rsidR="00AB78E2" w:rsidRPr="00960FF5" w14:paraId="762C6B86" w14:textId="77777777" w:rsidTr="00862EA3">
        <w:trPr>
          <w:cantSplit/>
          <w:trHeight w:val="417"/>
          <w:jc w:val="center"/>
        </w:trPr>
        <w:tc>
          <w:tcPr>
            <w:tcW w:w="738" w:type="dxa"/>
          </w:tcPr>
          <w:p w14:paraId="5833F04A" w14:textId="77777777" w:rsidR="00AB78E2" w:rsidRPr="00960FF5" w:rsidRDefault="00AB78E2" w:rsidP="00794F54">
            <w:pPr>
              <w:pStyle w:val="Lers"/>
              <w:jc w:val="left"/>
              <w:rPr>
                <w:lang w:val="en-GB"/>
              </w:rPr>
            </w:pPr>
            <w:r w:rsidRPr="00960FF5">
              <w:rPr>
                <w:lang w:val="en-GB"/>
              </w:rPr>
              <w:t>2.</w:t>
            </w:r>
          </w:p>
        </w:tc>
        <w:tc>
          <w:tcPr>
            <w:tcW w:w="850" w:type="dxa"/>
            <w:vAlign w:val="center"/>
          </w:tcPr>
          <w:p w14:paraId="5B962CC9" w14:textId="481EAB64" w:rsidR="00AB78E2" w:rsidRPr="00960FF5" w:rsidRDefault="003B3DA7" w:rsidP="008336A3">
            <w:pPr>
              <w:pStyle w:val="Lers"/>
              <w:jc w:val="center"/>
              <w:rPr>
                <w:lang w:val="en-GB"/>
              </w:rPr>
            </w:pPr>
            <w:r w:rsidRPr="00960FF5">
              <w:rPr>
                <w:lang w:val="en-GB"/>
              </w:rPr>
              <w:t>09.</w:t>
            </w:r>
            <w:r w:rsidR="005B0875" w:rsidRPr="00960FF5">
              <w:rPr>
                <w:lang w:val="en-GB"/>
              </w:rPr>
              <w:t>1</w:t>
            </w:r>
            <w:r w:rsidR="0090545B" w:rsidRPr="00960FF5">
              <w:rPr>
                <w:lang w:val="en-GB"/>
              </w:rPr>
              <w:t>5</w:t>
            </w:r>
            <w:r w:rsidRPr="00960FF5">
              <w:rPr>
                <w:lang w:val="en-GB"/>
              </w:rPr>
              <w:t>.</w:t>
            </w:r>
          </w:p>
        </w:tc>
        <w:tc>
          <w:tcPr>
            <w:tcW w:w="8959" w:type="dxa"/>
            <w:gridSpan w:val="2"/>
          </w:tcPr>
          <w:p w14:paraId="2B40F60F" w14:textId="0A93DE49" w:rsidR="00AB78E2" w:rsidRPr="00960FF5" w:rsidRDefault="00BF1409" w:rsidP="00933AE6">
            <w:pPr>
              <w:spacing w:before="0" w:after="0"/>
              <w:contextualSpacing/>
              <w:jc w:val="both"/>
              <w:rPr>
                <w:b w:val="0"/>
                <w:bCs w:val="0"/>
                <w:iCs/>
                <w:sz w:val="18"/>
                <w:szCs w:val="18"/>
                <w:lang w:val="en-GB"/>
              </w:rPr>
            </w:pPr>
            <w:r w:rsidRPr="00960FF5">
              <w:rPr>
                <w:b w:val="0"/>
                <w:bCs w:val="0"/>
                <w:sz w:val="18"/>
                <w:szCs w:val="18"/>
                <w:lang w:val="en-GB"/>
              </w:rPr>
              <w:t>As we make everyday choices – how much time to spend working or studying, what to spend our money on – we are experiencing what in economics are called trade-offs and opportunity costs. A trade-off is when we choose one option in favo</w:t>
            </w:r>
            <w:r w:rsidR="00933AE6" w:rsidRPr="00960FF5">
              <w:rPr>
                <w:b w:val="0"/>
                <w:bCs w:val="0"/>
                <w:sz w:val="18"/>
                <w:szCs w:val="18"/>
                <w:lang w:val="en-GB"/>
              </w:rPr>
              <w:t>u</w:t>
            </w:r>
            <w:r w:rsidRPr="00960FF5">
              <w:rPr>
                <w:b w:val="0"/>
                <w:bCs w:val="0"/>
                <w:sz w:val="18"/>
                <w:szCs w:val="18"/>
                <w:lang w:val="en-GB"/>
              </w:rPr>
              <w:t>r of another and the opportunity cost is what is sacrificed in order to get something. Whether we realize it or not, we are constantly evaluating the costs and benefits of each decision we make; therefore, it can also be said that we are performing our own cost-benefit analysis each time we make a choice.</w:t>
            </w:r>
          </w:p>
        </w:tc>
      </w:tr>
      <w:tr w:rsidR="00AB78E2" w:rsidRPr="00960FF5" w14:paraId="5A82CD12" w14:textId="77777777" w:rsidTr="00721B1E">
        <w:trPr>
          <w:cantSplit/>
          <w:trHeight w:val="416"/>
          <w:jc w:val="center"/>
        </w:trPr>
        <w:tc>
          <w:tcPr>
            <w:tcW w:w="738" w:type="dxa"/>
          </w:tcPr>
          <w:p w14:paraId="2125D7DC" w14:textId="77777777" w:rsidR="00AB78E2" w:rsidRPr="00960FF5" w:rsidRDefault="00AB78E2" w:rsidP="00794F54">
            <w:pPr>
              <w:pStyle w:val="Lers"/>
              <w:jc w:val="left"/>
              <w:rPr>
                <w:lang w:val="en-GB"/>
              </w:rPr>
            </w:pPr>
            <w:r w:rsidRPr="00960FF5">
              <w:rPr>
                <w:lang w:val="en-GB"/>
              </w:rPr>
              <w:t>3.</w:t>
            </w:r>
          </w:p>
        </w:tc>
        <w:tc>
          <w:tcPr>
            <w:tcW w:w="850" w:type="dxa"/>
            <w:vAlign w:val="center"/>
          </w:tcPr>
          <w:p w14:paraId="43D6E737" w14:textId="6D2ADC9B" w:rsidR="00AB78E2" w:rsidRPr="00960FF5" w:rsidRDefault="0054529D" w:rsidP="008336A3">
            <w:pPr>
              <w:pStyle w:val="Lers"/>
              <w:jc w:val="center"/>
              <w:rPr>
                <w:lang w:val="en-GB"/>
              </w:rPr>
            </w:pPr>
            <w:r w:rsidRPr="00960FF5">
              <w:rPr>
                <w:lang w:val="en-GB"/>
              </w:rPr>
              <w:t>09.</w:t>
            </w:r>
            <w:r w:rsidR="00520A35" w:rsidRPr="00960FF5">
              <w:rPr>
                <w:lang w:val="en-GB"/>
              </w:rPr>
              <w:t>2</w:t>
            </w:r>
            <w:r w:rsidR="0090545B" w:rsidRPr="00960FF5">
              <w:rPr>
                <w:lang w:val="en-GB"/>
              </w:rPr>
              <w:t>2</w:t>
            </w:r>
            <w:r w:rsidRPr="00960FF5">
              <w:rPr>
                <w:lang w:val="en-GB"/>
              </w:rPr>
              <w:t>.</w:t>
            </w:r>
          </w:p>
        </w:tc>
        <w:tc>
          <w:tcPr>
            <w:tcW w:w="8959" w:type="dxa"/>
            <w:gridSpan w:val="2"/>
          </w:tcPr>
          <w:p w14:paraId="26711015" w14:textId="5ABE4805" w:rsidR="00AB78E2" w:rsidRPr="00960FF5" w:rsidRDefault="00BF1409" w:rsidP="00933AE6">
            <w:pPr>
              <w:adjustRightInd w:val="0"/>
              <w:spacing w:before="0" w:after="0"/>
              <w:jc w:val="both"/>
              <w:rPr>
                <w:b w:val="0"/>
                <w:bCs w:val="0"/>
                <w:iCs/>
                <w:sz w:val="18"/>
                <w:szCs w:val="18"/>
                <w:lang w:val="en-GB"/>
              </w:rPr>
            </w:pPr>
            <w:r w:rsidRPr="00960FF5">
              <w:rPr>
                <w:b w:val="0"/>
                <w:bCs w:val="0"/>
                <w:sz w:val="18"/>
                <w:szCs w:val="18"/>
                <w:lang w:val="en-GB"/>
              </w:rPr>
              <w:t>Marginal costs and benefits are essential information for economists,</w:t>
            </w:r>
            <w:r w:rsidR="00933AE6" w:rsidRPr="00960FF5">
              <w:rPr>
                <w:b w:val="0"/>
                <w:bCs w:val="0"/>
                <w:sz w:val="18"/>
                <w:szCs w:val="18"/>
                <w:lang w:val="en-GB"/>
              </w:rPr>
              <w:t xml:space="preserve"> </w:t>
            </w:r>
            <w:r w:rsidRPr="00960FF5">
              <w:rPr>
                <w:b w:val="0"/>
                <w:bCs w:val="0"/>
                <w:sz w:val="18"/>
                <w:szCs w:val="18"/>
                <w:lang w:val="en-GB"/>
              </w:rPr>
              <w:t>businesses, and consumers. Even if we do not realize it, we all make decisions</w:t>
            </w:r>
            <w:r w:rsidR="00933AE6" w:rsidRPr="00960FF5">
              <w:rPr>
                <w:b w:val="0"/>
                <w:bCs w:val="0"/>
                <w:sz w:val="18"/>
                <w:szCs w:val="18"/>
                <w:lang w:val="en-GB"/>
              </w:rPr>
              <w:t xml:space="preserve"> </w:t>
            </w:r>
            <w:r w:rsidRPr="00960FF5">
              <w:rPr>
                <w:b w:val="0"/>
                <w:bCs w:val="0"/>
                <w:sz w:val="18"/>
                <w:szCs w:val="18"/>
                <w:lang w:val="en-GB"/>
              </w:rPr>
              <w:t>based on our marginal evaluations of the alternatives. In other words, “what</w:t>
            </w:r>
            <w:r w:rsidR="00933AE6" w:rsidRPr="00960FF5">
              <w:rPr>
                <w:b w:val="0"/>
                <w:bCs w:val="0"/>
                <w:sz w:val="18"/>
                <w:szCs w:val="18"/>
                <w:lang w:val="en-GB"/>
              </w:rPr>
              <w:t xml:space="preserve"> </w:t>
            </w:r>
            <w:r w:rsidRPr="00960FF5">
              <w:rPr>
                <w:b w:val="0"/>
                <w:bCs w:val="0"/>
                <w:sz w:val="18"/>
                <w:szCs w:val="18"/>
                <w:lang w:val="en-GB"/>
              </w:rPr>
              <w:t>does it cost to produce one more unit?” or “what will be the benefit of acquiring</w:t>
            </w:r>
            <w:r w:rsidR="00933AE6" w:rsidRPr="00960FF5">
              <w:rPr>
                <w:b w:val="0"/>
                <w:bCs w:val="0"/>
                <w:sz w:val="18"/>
                <w:szCs w:val="18"/>
                <w:lang w:val="en-GB"/>
              </w:rPr>
              <w:t xml:space="preserve"> </w:t>
            </w:r>
            <w:r w:rsidRPr="00960FF5">
              <w:rPr>
                <w:b w:val="0"/>
                <w:bCs w:val="0"/>
                <w:sz w:val="18"/>
                <w:szCs w:val="18"/>
                <w:lang w:val="en-GB"/>
              </w:rPr>
              <w:t>one more unit?”</w:t>
            </w:r>
          </w:p>
        </w:tc>
      </w:tr>
      <w:tr w:rsidR="003B3DA7" w:rsidRPr="00960FF5" w14:paraId="3D7E0BDC" w14:textId="77777777" w:rsidTr="005C1F12">
        <w:trPr>
          <w:cantSplit/>
          <w:trHeight w:val="409"/>
          <w:jc w:val="center"/>
        </w:trPr>
        <w:tc>
          <w:tcPr>
            <w:tcW w:w="738" w:type="dxa"/>
          </w:tcPr>
          <w:p w14:paraId="67020467" w14:textId="77777777" w:rsidR="003B3DA7" w:rsidRPr="00960FF5" w:rsidRDefault="003B3DA7" w:rsidP="003B3DA7">
            <w:pPr>
              <w:pStyle w:val="Lers"/>
              <w:jc w:val="left"/>
              <w:rPr>
                <w:lang w:val="en-GB"/>
              </w:rPr>
            </w:pPr>
            <w:r w:rsidRPr="00960FF5">
              <w:rPr>
                <w:lang w:val="en-GB"/>
              </w:rPr>
              <w:t>4.</w:t>
            </w:r>
          </w:p>
        </w:tc>
        <w:tc>
          <w:tcPr>
            <w:tcW w:w="850" w:type="dxa"/>
            <w:vAlign w:val="center"/>
          </w:tcPr>
          <w:p w14:paraId="536FCD97" w14:textId="73BEC94A" w:rsidR="003B3DA7" w:rsidRPr="00960FF5" w:rsidRDefault="003B3DA7" w:rsidP="003B3DA7">
            <w:pPr>
              <w:pStyle w:val="Lers"/>
              <w:jc w:val="center"/>
              <w:rPr>
                <w:lang w:val="en-GB"/>
              </w:rPr>
            </w:pPr>
            <w:r w:rsidRPr="00960FF5">
              <w:rPr>
                <w:lang w:val="en-GB"/>
              </w:rPr>
              <w:t>09.</w:t>
            </w:r>
            <w:r w:rsidR="0090545B" w:rsidRPr="00960FF5">
              <w:rPr>
                <w:lang w:val="en-GB"/>
              </w:rPr>
              <w:t>29</w:t>
            </w:r>
            <w:r w:rsidRPr="00960FF5">
              <w:rPr>
                <w:lang w:val="en-GB"/>
              </w:rPr>
              <w:t>.</w:t>
            </w:r>
          </w:p>
        </w:tc>
        <w:tc>
          <w:tcPr>
            <w:tcW w:w="8959" w:type="dxa"/>
            <w:gridSpan w:val="2"/>
          </w:tcPr>
          <w:p w14:paraId="032F0276" w14:textId="6918F083" w:rsidR="003B3DA7" w:rsidRPr="00960FF5" w:rsidRDefault="00BF1409" w:rsidP="00933AE6">
            <w:pPr>
              <w:adjustRightInd w:val="0"/>
              <w:spacing w:before="0" w:after="0"/>
              <w:jc w:val="both"/>
              <w:rPr>
                <w:b w:val="0"/>
                <w:bCs w:val="0"/>
                <w:iCs/>
                <w:sz w:val="18"/>
                <w:szCs w:val="18"/>
                <w:lang w:val="en-GB"/>
              </w:rPr>
            </w:pPr>
            <w:r w:rsidRPr="00960FF5">
              <w:rPr>
                <w:b w:val="0"/>
                <w:bCs w:val="0"/>
                <w:sz w:val="18"/>
                <w:szCs w:val="18"/>
                <w:lang w:val="en-GB"/>
              </w:rPr>
              <w:t>Cost-benefit analysis (CBA) is an analytical way for society to make decisions</w:t>
            </w:r>
            <w:r w:rsidR="00933AE6" w:rsidRPr="00960FF5">
              <w:rPr>
                <w:b w:val="0"/>
                <w:bCs w:val="0"/>
                <w:sz w:val="18"/>
                <w:szCs w:val="18"/>
                <w:lang w:val="en-GB"/>
              </w:rPr>
              <w:t xml:space="preserve"> </w:t>
            </w:r>
            <w:r w:rsidRPr="00960FF5">
              <w:rPr>
                <w:b w:val="0"/>
                <w:bCs w:val="0"/>
                <w:sz w:val="18"/>
                <w:szCs w:val="18"/>
                <w:lang w:val="en-GB"/>
              </w:rPr>
              <w:t>about complicated issues such as education, health care, transportation, or the</w:t>
            </w:r>
            <w:r w:rsidR="00933AE6" w:rsidRPr="00960FF5">
              <w:rPr>
                <w:b w:val="0"/>
                <w:bCs w:val="0"/>
                <w:sz w:val="18"/>
                <w:szCs w:val="18"/>
                <w:lang w:val="en-GB"/>
              </w:rPr>
              <w:t xml:space="preserve"> </w:t>
            </w:r>
            <w:r w:rsidRPr="00960FF5">
              <w:rPr>
                <w:b w:val="0"/>
                <w:bCs w:val="0"/>
                <w:sz w:val="18"/>
                <w:szCs w:val="18"/>
                <w:lang w:val="en-GB"/>
              </w:rPr>
              <w:t>environment. Like most personal decisions, it involves a comparison of the costs</w:t>
            </w:r>
            <w:r w:rsidR="00933AE6" w:rsidRPr="00960FF5">
              <w:rPr>
                <w:b w:val="0"/>
                <w:bCs w:val="0"/>
                <w:sz w:val="18"/>
                <w:szCs w:val="18"/>
                <w:lang w:val="en-GB"/>
              </w:rPr>
              <w:t xml:space="preserve"> </w:t>
            </w:r>
            <w:r w:rsidRPr="00960FF5">
              <w:rPr>
                <w:b w:val="0"/>
                <w:bCs w:val="0"/>
                <w:sz w:val="18"/>
                <w:szCs w:val="18"/>
                <w:lang w:val="en-GB"/>
              </w:rPr>
              <w:t>of an action compared with considerations of the benefits of that action.</w:t>
            </w:r>
          </w:p>
        </w:tc>
      </w:tr>
      <w:tr w:rsidR="003B3DA7" w:rsidRPr="00960FF5" w14:paraId="14E8C1CD" w14:textId="77777777" w:rsidTr="00721B1E">
        <w:trPr>
          <w:cantSplit/>
          <w:trHeight w:val="263"/>
          <w:jc w:val="center"/>
        </w:trPr>
        <w:tc>
          <w:tcPr>
            <w:tcW w:w="738" w:type="dxa"/>
          </w:tcPr>
          <w:p w14:paraId="2799CA19" w14:textId="77777777" w:rsidR="003B3DA7" w:rsidRPr="00960FF5" w:rsidRDefault="003B3DA7" w:rsidP="003B3DA7">
            <w:pPr>
              <w:pStyle w:val="Lers"/>
              <w:jc w:val="left"/>
              <w:rPr>
                <w:lang w:val="en-GB"/>
              </w:rPr>
            </w:pPr>
            <w:r w:rsidRPr="00960FF5">
              <w:rPr>
                <w:lang w:val="en-GB"/>
              </w:rPr>
              <w:t>5.</w:t>
            </w:r>
          </w:p>
        </w:tc>
        <w:tc>
          <w:tcPr>
            <w:tcW w:w="850" w:type="dxa"/>
            <w:vAlign w:val="center"/>
          </w:tcPr>
          <w:p w14:paraId="51EADD06" w14:textId="388248B5" w:rsidR="003B3DA7" w:rsidRPr="00960FF5" w:rsidRDefault="00520A35" w:rsidP="003B3DA7">
            <w:pPr>
              <w:pStyle w:val="Lers"/>
              <w:jc w:val="center"/>
              <w:rPr>
                <w:lang w:val="en-GB"/>
              </w:rPr>
            </w:pPr>
            <w:r w:rsidRPr="00960FF5">
              <w:rPr>
                <w:lang w:val="en-GB"/>
              </w:rPr>
              <w:t>1</w:t>
            </w:r>
            <w:r w:rsidR="003B3DA7" w:rsidRPr="00960FF5">
              <w:rPr>
                <w:lang w:val="en-GB"/>
              </w:rPr>
              <w:t>0.</w:t>
            </w:r>
            <w:r w:rsidRPr="00960FF5">
              <w:rPr>
                <w:lang w:val="en-GB"/>
              </w:rPr>
              <w:t>0</w:t>
            </w:r>
            <w:r w:rsidR="0090545B" w:rsidRPr="00960FF5">
              <w:rPr>
                <w:lang w:val="en-GB"/>
              </w:rPr>
              <w:t>6</w:t>
            </w:r>
            <w:r w:rsidR="003B3DA7" w:rsidRPr="00960FF5">
              <w:rPr>
                <w:lang w:val="en-GB"/>
              </w:rPr>
              <w:t>.</w:t>
            </w:r>
          </w:p>
        </w:tc>
        <w:tc>
          <w:tcPr>
            <w:tcW w:w="8959" w:type="dxa"/>
            <w:gridSpan w:val="2"/>
          </w:tcPr>
          <w:p w14:paraId="3A2E1502" w14:textId="4C00A6CC" w:rsidR="003B3DA7" w:rsidRPr="00960FF5" w:rsidRDefault="00BF1409" w:rsidP="00933AE6">
            <w:pPr>
              <w:adjustRightInd w:val="0"/>
              <w:spacing w:before="0" w:after="0"/>
              <w:jc w:val="both"/>
              <w:rPr>
                <w:b w:val="0"/>
                <w:bCs w:val="0"/>
                <w:iCs/>
                <w:sz w:val="18"/>
                <w:szCs w:val="18"/>
                <w:lang w:val="en-GB"/>
              </w:rPr>
            </w:pPr>
            <w:r w:rsidRPr="00960FF5">
              <w:rPr>
                <w:b w:val="0"/>
                <w:bCs w:val="0"/>
                <w:sz w:val="18"/>
                <w:szCs w:val="18"/>
                <w:lang w:val="en-GB"/>
              </w:rPr>
              <w:t>An environmental impact analysis is typically conducted to assess the potential impact a proposed development project will have on the natural and social environment. This may include an assessment of both the short- and long</w:t>
            </w:r>
            <w:r w:rsidR="00933AE6" w:rsidRPr="00960FF5">
              <w:rPr>
                <w:b w:val="0"/>
                <w:bCs w:val="0"/>
                <w:sz w:val="18"/>
                <w:szCs w:val="18"/>
                <w:lang w:val="en-GB"/>
              </w:rPr>
              <w:t>-</w:t>
            </w:r>
            <w:r w:rsidRPr="00960FF5">
              <w:rPr>
                <w:b w:val="0"/>
                <w:bCs w:val="0"/>
                <w:sz w:val="18"/>
                <w:szCs w:val="18"/>
                <w:lang w:val="en-GB"/>
              </w:rPr>
              <w:t>term effects on the physical environment, such as air, water and/or noise pollution; as well as effects on local services, living and health standards, and aesthetics.</w:t>
            </w:r>
          </w:p>
        </w:tc>
      </w:tr>
      <w:tr w:rsidR="003B3DA7" w:rsidRPr="00960FF5" w14:paraId="2EE9CBAA" w14:textId="77777777" w:rsidTr="00862EA3">
        <w:trPr>
          <w:cantSplit/>
          <w:trHeight w:val="433"/>
          <w:jc w:val="center"/>
        </w:trPr>
        <w:tc>
          <w:tcPr>
            <w:tcW w:w="738" w:type="dxa"/>
          </w:tcPr>
          <w:p w14:paraId="405F814E" w14:textId="77777777" w:rsidR="003B3DA7" w:rsidRPr="00960FF5" w:rsidRDefault="003B3DA7" w:rsidP="003B3DA7">
            <w:pPr>
              <w:pStyle w:val="Lers"/>
              <w:jc w:val="left"/>
              <w:rPr>
                <w:lang w:val="en-GB"/>
              </w:rPr>
            </w:pPr>
            <w:r w:rsidRPr="00960FF5">
              <w:rPr>
                <w:lang w:val="en-GB"/>
              </w:rPr>
              <w:t>6.</w:t>
            </w:r>
          </w:p>
        </w:tc>
        <w:tc>
          <w:tcPr>
            <w:tcW w:w="850" w:type="dxa"/>
            <w:vAlign w:val="center"/>
          </w:tcPr>
          <w:p w14:paraId="2AF07124" w14:textId="291DC36A" w:rsidR="003B3DA7" w:rsidRPr="00960FF5" w:rsidRDefault="00520A35" w:rsidP="003B3DA7">
            <w:pPr>
              <w:pStyle w:val="Lers"/>
              <w:jc w:val="center"/>
              <w:rPr>
                <w:lang w:val="en-GB"/>
              </w:rPr>
            </w:pPr>
            <w:r w:rsidRPr="00960FF5">
              <w:rPr>
                <w:lang w:val="en-GB"/>
              </w:rPr>
              <w:t>1</w:t>
            </w:r>
            <w:r w:rsidR="003B3DA7" w:rsidRPr="00960FF5">
              <w:rPr>
                <w:lang w:val="en-GB"/>
              </w:rPr>
              <w:t>0.</w:t>
            </w:r>
            <w:r w:rsidR="005B0875" w:rsidRPr="00960FF5">
              <w:rPr>
                <w:lang w:val="en-GB"/>
              </w:rPr>
              <w:t>1</w:t>
            </w:r>
            <w:r w:rsidR="0090545B" w:rsidRPr="00960FF5">
              <w:rPr>
                <w:lang w:val="en-GB"/>
              </w:rPr>
              <w:t>3</w:t>
            </w:r>
            <w:r w:rsidR="003B3DA7" w:rsidRPr="00960FF5">
              <w:rPr>
                <w:lang w:val="en-GB"/>
              </w:rPr>
              <w:t>.</w:t>
            </w:r>
          </w:p>
        </w:tc>
        <w:tc>
          <w:tcPr>
            <w:tcW w:w="8959" w:type="dxa"/>
            <w:gridSpan w:val="2"/>
          </w:tcPr>
          <w:p w14:paraId="653149D1" w14:textId="7C940800" w:rsidR="003B3DA7" w:rsidRPr="00960FF5" w:rsidRDefault="00BF1409" w:rsidP="00933AE6">
            <w:pPr>
              <w:pStyle w:val="Cmsor1"/>
              <w:spacing w:before="0" w:after="0"/>
              <w:jc w:val="both"/>
              <w:rPr>
                <w:i/>
                <w:sz w:val="18"/>
                <w:szCs w:val="18"/>
                <w:lang w:val="en-GB"/>
              </w:rPr>
            </w:pPr>
            <w:r w:rsidRPr="00960FF5">
              <w:rPr>
                <w:smallCaps w:val="0"/>
                <w:sz w:val="18"/>
                <w:szCs w:val="18"/>
                <w:lang w:val="en-GB"/>
              </w:rPr>
              <w:t>Regulatory Policy vs. Economic Incentives. Environmental regulation in the United States has traditionally relied on</w:t>
            </w:r>
            <w:r w:rsidR="00933AE6" w:rsidRPr="00960FF5">
              <w:rPr>
                <w:smallCaps w:val="0"/>
                <w:sz w:val="18"/>
                <w:szCs w:val="18"/>
                <w:lang w:val="en-GB"/>
              </w:rPr>
              <w:t xml:space="preserve"> </w:t>
            </w:r>
            <w:r w:rsidRPr="00960FF5">
              <w:rPr>
                <w:smallCaps w:val="0"/>
                <w:sz w:val="18"/>
                <w:szCs w:val="18"/>
                <w:lang w:val="en-GB"/>
              </w:rPr>
              <w:t>command-and-control policies in which regulators – typically the government– set standards or limits and apply them uniformly to a broad category of</w:t>
            </w:r>
            <w:r w:rsidR="00933AE6" w:rsidRPr="00960FF5">
              <w:rPr>
                <w:smallCaps w:val="0"/>
                <w:sz w:val="18"/>
                <w:szCs w:val="18"/>
                <w:lang w:val="en-GB"/>
              </w:rPr>
              <w:t xml:space="preserve"> </w:t>
            </w:r>
            <w:r w:rsidRPr="00960FF5">
              <w:rPr>
                <w:smallCaps w:val="0"/>
                <w:sz w:val="18"/>
                <w:szCs w:val="18"/>
                <w:lang w:val="en-GB"/>
              </w:rPr>
              <w:t>sources. There are three types of command-and-control mechanisms that</w:t>
            </w:r>
            <w:r w:rsidR="00933AE6" w:rsidRPr="00960FF5">
              <w:rPr>
                <w:smallCaps w:val="0"/>
                <w:sz w:val="18"/>
                <w:szCs w:val="18"/>
                <w:lang w:val="en-GB"/>
              </w:rPr>
              <w:t xml:space="preserve"> </w:t>
            </w:r>
            <w:r w:rsidRPr="00960FF5">
              <w:rPr>
                <w:smallCaps w:val="0"/>
                <w:sz w:val="18"/>
                <w:szCs w:val="18"/>
                <w:lang w:val="en-GB"/>
              </w:rPr>
              <w:t>regulators can choose to implement: ambient, emissions, or technology standards.</w:t>
            </w:r>
          </w:p>
        </w:tc>
      </w:tr>
      <w:tr w:rsidR="003B3DA7" w:rsidRPr="00960FF5" w14:paraId="194A8030" w14:textId="77777777" w:rsidTr="005C1F12">
        <w:trPr>
          <w:cantSplit/>
          <w:trHeight w:val="275"/>
          <w:jc w:val="center"/>
        </w:trPr>
        <w:tc>
          <w:tcPr>
            <w:tcW w:w="738" w:type="dxa"/>
          </w:tcPr>
          <w:p w14:paraId="5A371272" w14:textId="77777777" w:rsidR="003B3DA7" w:rsidRPr="00960FF5" w:rsidRDefault="003B3DA7" w:rsidP="003B3DA7">
            <w:pPr>
              <w:pStyle w:val="Lers"/>
              <w:jc w:val="left"/>
              <w:rPr>
                <w:lang w:val="en-GB"/>
              </w:rPr>
            </w:pPr>
            <w:r w:rsidRPr="00960FF5">
              <w:rPr>
                <w:lang w:val="en-GB"/>
              </w:rPr>
              <w:t>7.</w:t>
            </w:r>
          </w:p>
        </w:tc>
        <w:tc>
          <w:tcPr>
            <w:tcW w:w="850" w:type="dxa"/>
            <w:vAlign w:val="center"/>
          </w:tcPr>
          <w:p w14:paraId="0DCB8984" w14:textId="75A81BEF" w:rsidR="003B3DA7" w:rsidRPr="00960FF5" w:rsidRDefault="003B3DA7" w:rsidP="003B3DA7">
            <w:pPr>
              <w:pStyle w:val="Lers"/>
              <w:jc w:val="center"/>
              <w:rPr>
                <w:lang w:val="en-GB"/>
              </w:rPr>
            </w:pPr>
            <w:r w:rsidRPr="00960FF5">
              <w:rPr>
                <w:lang w:val="en-GB"/>
              </w:rPr>
              <w:t>10.</w:t>
            </w:r>
            <w:r w:rsidR="005B0875" w:rsidRPr="00960FF5">
              <w:rPr>
                <w:lang w:val="en-GB"/>
              </w:rPr>
              <w:t>2</w:t>
            </w:r>
            <w:r w:rsidR="0090545B" w:rsidRPr="00960FF5">
              <w:rPr>
                <w:lang w:val="en-GB"/>
              </w:rPr>
              <w:t>0</w:t>
            </w:r>
            <w:r w:rsidRPr="00960FF5">
              <w:rPr>
                <w:lang w:val="en-GB"/>
              </w:rPr>
              <w:t>.</w:t>
            </w:r>
          </w:p>
        </w:tc>
        <w:tc>
          <w:tcPr>
            <w:tcW w:w="8959" w:type="dxa"/>
            <w:gridSpan w:val="2"/>
          </w:tcPr>
          <w:p w14:paraId="1D86EBA4" w14:textId="132D23FE" w:rsidR="00BF1409" w:rsidRPr="00960FF5" w:rsidRDefault="00BF1409" w:rsidP="00933AE6">
            <w:pPr>
              <w:adjustRightInd w:val="0"/>
              <w:spacing w:before="0" w:after="0"/>
              <w:jc w:val="both"/>
              <w:rPr>
                <w:b w:val="0"/>
                <w:bCs w:val="0"/>
                <w:sz w:val="18"/>
                <w:szCs w:val="18"/>
                <w:lang w:val="en-GB"/>
              </w:rPr>
            </w:pPr>
            <w:r w:rsidRPr="00960FF5">
              <w:rPr>
                <w:b w:val="0"/>
                <w:bCs w:val="0"/>
                <w:sz w:val="18"/>
                <w:szCs w:val="18"/>
                <w:lang w:val="en-GB"/>
              </w:rPr>
              <w:t>Reviewing the state of the environment in Europe reveals considerable progress, but challenges remain. many of Europe's environmental issues, such as climate change or biodiversity loss, are linked and have a complex and often global character; · they are closely linked to other challenges, such as unsustainable resource use, that span the societal and economic spheres and undermine important ecosystem services;</w:t>
            </w:r>
            <w:r w:rsidR="0051351E" w:rsidRPr="00960FF5">
              <w:rPr>
                <w:b w:val="0"/>
                <w:bCs w:val="0"/>
                <w:sz w:val="18"/>
                <w:szCs w:val="18"/>
                <w:lang w:val="en-GB"/>
              </w:rPr>
              <w:t xml:space="preserve"> </w:t>
            </w:r>
            <w:r w:rsidRPr="00960FF5">
              <w:rPr>
                <w:b w:val="0"/>
                <w:bCs w:val="0"/>
                <w:sz w:val="18"/>
                <w:szCs w:val="18"/>
                <w:lang w:val="en-GB"/>
              </w:rPr>
              <w:t>· as environmental challenges have become more complex and more profoundly linked to other societal concerns, the uncertainties and risks associated with them have increased.</w:t>
            </w:r>
          </w:p>
          <w:p w14:paraId="54674838" w14:textId="278D9978" w:rsidR="003B3DA7" w:rsidRPr="00960FF5" w:rsidRDefault="00EC6697" w:rsidP="00933AE6">
            <w:pPr>
              <w:spacing w:before="0" w:after="0"/>
              <w:jc w:val="both"/>
              <w:rPr>
                <w:b w:val="0"/>
                <w:bCs w:val="0"/>
                <w:i/>
                <w:sz w:val="18"/>
                <w:szCs w:val="18"/>
                <w:lang w:val="en-GB"/>
              </w:rPr>
            </w:pPr>
            <w:r w:rsidRPr="00960FF5">
              <w:rPr>
                <w:b w:val="0"/>
                <w:bCs w:val="0"/>
                <w:i/>
                <w:sz w:val="18"/>
                <w:szCs w:val="18"/>
                <w:lang w:val="en-GB"/>
              </w:rPr>
              <w:t>Presentation for case-study</w:t>
            </w:r>
          </w:p>
        </w:tc>
      </w:tr>
      <w:tr w:rsidR="003B3DA7" w:rsidRPr="00960FF5" w14:paraId="6FD5C30C" w14:textId="77777777" w:rsidTr="005C1F12">
        <w:trPr>
          <w:cantSplit/>
          <w:trHeight w:val="330"/>
          <w:jc w:val="center"/>
        </w:trPr>
        <w:tc>
          <w:tcPr>
            <w:tcW w:w="738" w:type="dxa"/>
          </w:tcPr>
          <w:p w14:paraId="5A245DDE" w14:textId="77777777" w:rsidR="003B3DA7" w:rsidRPr="00960FF5" w:rsidRDefault="003B3DA7" w:rsidP="003B3DA7">
            <w:pPr>
              <w:pStyle w:val="Lers"/>
              <w:jc w:val="left"/>
              <w:rPr>
                <w:lang w:val="en-GB"/>
              </w:rPr>
            </w:pPr>
            <w:r w:rsidRPr="00960FF5">
              <w:rPr>
                <w:lang w:val="en-GB"/>
              </w:rPr>
              <w:t>8.</w:t>
            </w:r>
          </w:p>
        </w:tc>
        <w:tc>
          <w:tcPr>
            <w:tcW w:w="850" w:type="dxa"/>
            <w:vAlign w:val="center"/>
          </w:tcPr>
          <w:p w14:paraId="403202D6" w14:textId="5B350FE0" w:rsidR="003B3DA7" w:rsidRPr="00960FF5" w:rsidRDefault="003B3DA7" w:rsidP="003B3DA7">
            <w:pPr>
              <w:pStyle w:val="Lers"/>
              <w:jc w:val="center"/>
              <w:rPr>
                <w:lang w:val="en-GB"/>
              </w:rPr>
            </w:pPr>
            <w:r w:rsidRPr="00960FF5">
              <w:rPr>
                <w:lang w:val="en-GB"/>
              </w:rPr>
              <w:t>10.</w:t>
            </w:r>
            <w:r w:rsidR="00520A35" w:rsidRPr="00960FF5">
              <w:rPr>
                <w:lang w:val="en-GB"/>
              </w:rPr>
              <w:t>2</w:t>
            </w:r>
            <w:r w:rsidR="0090545B" w:rsidRPr="00960FF5">
              <w:rPr>
                <w:lang w:val="en-GB"/>
              </w:rPr>
              <w:t>7</w:t>
            </w:r>
            <w:r w:rsidRPr="00960FF5">
              <w:rPr>
                <w:lang w:val="en-GB"/>
              </w:rPr>
              <w:t>.</w:t>
            </w:r>
          </w:p>
        </w:tc>
        <w:tc>
          <w:tcPr>
            <w:tcW w:w="8959" w:type="dxa"/>
            <w:gridSpan w:val="2"/>
          </w:tcPr>
          <w:p w14:paraId="7F37231C" w14:textId="4D98D1B6" w:rsidR="0051351E" w:rsidRPr="00960FF5" w:rsidRDefault="0051351E" w:rsidP="00933AE6">
            <w:pPr>
              <w:pStyle w:val="Lers"/>
              <w:spacing w:before="0" w:after="0"/>
              <w:jc w:val="left"/>
              <w:rPr>
                <w:i/>
                <w:sz w:val="18"/>
                <w:szCs w:val="18"/>
                <w:lang w:val="en-GB"/>
              </w:rPr>
            </w:pPr>
            <w:r w:rsidRPr="00960FF5">
              <w:rPr>
                <w:sz w:val="18"/>
                <w:szCs w:val="18"/>
                <w:lang w:val="en-GB"/>
              </w:rPr>
              <w:t xml:space="preserve">Climate change is one of the most obvious effects of these past developments: breaching the 2 </w:t>
            </w:r>
            <w:proofErr w:type="spellStart"/>
            <w:r w:rsidRPr="00960FF5">
              <w:rPr>
                <w:sz w:val="18"/>
                <w:szCs w:val="18"/>
                <w:vertAlign w:val="superscript"/>
                <w:lang w:val="en-GB"/>
              </w:rPr>
              <w:t>o</w:t>
            </w:r>
            <w:r w:rsidRPr="00960FF5">
              <w:rPr>
                <w:sz w:val="18"/>
                <w:szCs w:val="18"/>
                <w:lang w:val="en-GB"/>
              </w:rPr>
              <w:t>C</w:t>
            </w:r>
            <w:proofErr w:type="spellEnd"/>
            <w:r w:rsidRPr="00960FF5">
              <w:rPr>
                <w:sz w:val="18"/>
                <w:szCs w:val="18"/>
                <w:lang w:val="en-GB"/>
              </w:rPr>
              <w:t xml:space="preserve"> target is probably the most tangible example of the risk of going beyond planetary boundaries. The long-term ambition of achieving 80 to 95 % reductions in CO</w:t>
            </w:r>
            <w:r w:rsidRPr="00960FF5">
              <w:rPr>
                <w:sz w:val="18"/>
                <w:szCs w:val="18"/>
                <w:vertAlign w:val="subscript"/>
                <w:lang w:val="en-GB"/>
              </w:rPr>
              <w:t>2</w:t>
            </w:r>
            <w:r w:rsidRPr="00960FF5">
              <w:rPr>
                <w:sz w:val="18"/>
                <w:szCs w:val="18"/>
                <w:lang w:val="en-GB"/>
              </w:rPr>
              <w:t xml:space="preserve"> emissions by 2050 in Europe to stay in line with the above target, strongly argues for a fundamental transformation of Europe's current economy, with low-carbon energy and transport systems as central planks of the new economy - but not the only ones. </w:t>
            </w:r>
          </w:p>
          <w:p w14:paraId="7692911B" w14:textId="502CEF4F" w:rsidR="003B3DA7" w:rsidRPr="00960FF5" w:rsidRDefault="005B1031" w:rsidP="00933AE6">
            <w:pPr>
              <w:pStyle w:val="Lers"/>
              <w:spacing w:before="0" w:after="0"/>
              <w:jc w:val="left"/>
              <w:rPr>
                <w:i/>
                <w:sz w:val="18"/>
                <w:szCs w:val="18"/>
                <w:lang w:val="en-GB"/>
              </w:rPr>
            </w:pPr>
            <w:r>
              <w:rPr>
                <w:i/>
                <w:sz w:val="18"/>
                <w:szCs w:val="18"/>
                <w:lang w:val="en-GB"/>
              </w:rPr>
              <w:t xml:space="preserve">Writing exam-I., </w:t>
            </w:r>
            <w:r w:rsidR="00EC6697" w:rsidRPr="00960FF5">
              <w:rPr>
                <w:i/>
                <w:sz w:val="18"/>
                <w:szCs w:val="18"/>
                <w:lang w:val="en-GB"/>
              </w:rPr>
              <w:t>Presentation for case-study</w:t>
            </w:r>
          </w:p>
        </w:tc>
      </w:tr>
      <w:tr w:rsidR="00661A04" w:rsidRPr="00960FF5" w14:paraId="3EE6E48F" w14:textId="77777777" w:rsidTr="005C1F12">
        <w:trPr>
          <w:cantSplit/>
          <w:trHeight w:val="283"/>
          <w:jc w:val="center"/>
        </w:trPr>
        <w:tc>
          <w:tcPr>
            <w:tcW w:w="738" w:type="dxa"/>
          </w:tcPr>
          <w:p w14:paraId="76A8A881" w14:textId="77777777" w:rsidR="00661A04" w:rsidRPr="00960FF5" w:rsidRDefault="00661A04" w:rsidP="00661A04">
            <w:pPr>
              <w:pStyle w:val="Lers"/>
              <w:jc w:val="left"/>
              <w:rPr>
                <w:lang w:val="en-GB"/>
              </w:rPr>
            </w:pPr>
            <w:r w:rsidRPr="00960FF5">
              <w:rPr>
                <w:lang w:val="en-GB"/>
              </w:rPr>
              <w:t>9.</w:t>
            </w:r>
          </w:p>
        </w:tc>
        <w:tc>
          <w:tcPr>
            <w:tcW w:w="850" w:type="dxa"/>
            <w:vAlign w:val="center"/>
          </w:tcPr>
          <w:p w14:paraId="3F555486" w14:textId="6E9E4903" w:rsidR="00661A04" w:rsidRPr="00960FF5" w:rsidRDefault="00661A04" w:rsidP="00A24199">
            <w:pPr>
              <w:pStyle w:val="Lers"/>
              <w:jc w:val="center"/>
              <w:rPr>
                <w:lang w:val="en-GB"/>
              </w:rPr>
            </w:pPr>
            <w:r w:rsidRPr="00960FF5">
              <w:rPr>
                <w:lang w:val="en-GB"/>
              </w:rPr>
              <w:t>1</w:t>
            </w:r>
            <w:r w:rsidR="00520A35" w:rsidRPr="00960FF5">
              <w:rPr>
                <w:lang w:val="en-GB"/>
              </w:rPr>
              <w:t>1</w:t>
            </w:r>
            <w:r w:rsidRPr="00960FF5">
              <w:rPr>
                <w:lang w:val="en-GB"/>
              </w:rPr>
              <w:t>.</w:t>
            </w:r>
            <w:r w:rsidR="00A24199">
              <w:rPr>
                <w:lang w:val="en-GB"/>
              </w:rPr>
              <w:t>03</w:t>
            </w:r>
            <w:r w:rsidRPr="00960FF5">
              <w:rPr>
                <w:lang w:val="en-GB"/>
              </w:rPr>
              <w:t>.</w:t>
            </w:r>
          </w:p>
        </w:tc>
        <w:tc>
          <w:tcPr>
            <w:tcW w:w="8959" w:type="dxa"/>
            <w:gridSpan w:val="2"/>
          </w:tcPr>
          <w:p w14:paraId="714E6F51" w14:textId="77777777" w:rsidR="00661A04" w:rsidRDefault="0051351E" w:rsidP="00933AE6">
            <w:pPr>
              <w:adjustRightInd w:val="0"/>
              <w:spacing w:before="0" w:after="0"/>
              <w:jc w:val="both"/>
              <w:rPr>
                <w:b w:val="0"/>
                <w:bCs w:val="0"/>
                <w:sz w:val="18"/>
                <w:szCs w:val="18"/>
                <w:lang w:val="en-GB"/>
              </w:rPr>
            </w:pPr>
            <w:r w:rsidRPr="00960FF5">
              <w:rPr>
                <w:b w:val="0"/>
                <w:bCs w:val="0"/>
                <w:sz w:val="18"/>
                <w:szCs w:val="18"/>
                <w:lang w:val="en-GB"/>
              </w:rPr>
              <w:softHyphen/>
              <w:t>Dedicated management of natural capital and ecosystem services increases social and economic resilience. Natural capital embraces many components. It is the stock of natural resources from which ecosystems goods and services can be derived. Such capital provides the sources of energy, food and materials; the sinks for wastes and pollution; the services of climate, water and soil regulation; and the environment for living and leisure - in essence, the core fabric of our societies. Using it often involves trade-offs between different services and striking a balance between maintaining and using stocks.</w:t>
            </w:r>
          </w:p>
          <w:p w14:paraId="479875AA" w14:textId="69117966" w:rsidR="005B1031" w:rsidRPr="005B1031" w:rsidRDefault="005B1031" w:rsidP="00933AE6">
            <w:pPr>
              <w:adjustRightInd w:val="0"/>
              <w:spacing w:before="0" w:after="0"/>
              <w:jc w:val="both"/>
              <w:rPr>
                <w:b w:val="0"/>
                <w:bCs w:val="0"/>
                <w:iCs/>
                <w:sz w:val="18"/>
                <w:szCs w:val="18"/>
                <w:lang w:val="en-GB"/>
              </w:rPr>
            </w:pPr>
            <w:r w:rsidRPr="005B1031">
              <w:rPr>
                <w:b w:val="0"/>
                <w:bCs w:val="0"/>
                <w:i/>
                <w:sz w:val="18"/>
                <w:szCs w:val="18"/>
                <w:lang w:val="en-GB"/>
              </w:rPr>
              <w:t>Presentation for case-study</w:t>
            </w:r>
          </w:p>
        </w:tc>
      </w:tr>
      <w:tr w:rsidR="00661A04" w:rsidRPr="00960FF5" w14:paraId="15C4A048" w14:textId="77777777" w:rsidTr="00862EA3">
        <w:trPr>
          <w:cantSplit/>
          <w:trHeight w:val="401"/>
          <w:jc w:val="center"/>
        </w:trPr>
        <w:tc>
          <w:tcPr>
            <w:tcW w:w="738" w:type="dxa"/>
          </w:tcPr>
          <w:p w14:paraId="3ADB07B5" w14:textId="77777777" w:rsidR="00661A04" w:rsidRPr="00960FF5" w:rsidRDefault="00661A04" w:rsidP="00661A04">
            <w:pPr>
              <w:pStyle w:val="Lers"/>
              <w:jc w:val="left"/>
              <w:rPr>
                <w:lang w:val="en-GB"/>
              </w:rPr>
            </w:pPr>
            <w:r w:rsidRPr="00960FF5">
              <w:rPr>
                <w:lang w:val="en-GB"/>
              </w:rPr>
              <w:t>10.</w:t>
            </w:r>
          </w:p>
        </w:tc>
        <w:tc>
          <w:tcPr>
            <w:tcW w:w="850" w:type="dxa"/>
            <w:vAlign w:val="center"/>
          </w:tcPr>
          <w:p w14:paraId="7FC388B6" w14:textId="684BC3F4" w:rsidR="00661A04" w:rsidRPr="00960FF5" w:rsidRDefault="00EC6697" w:rsidP="00661A04">
            <w:pPr>
              <w:pStyle w:val="Lers"/>
              <w:jc w:val="center"/>
              <w:rPr>
                <w:lang w:val="en-GB"/>
              </w:rPr>
            </w:pPr>
            <w:r w:rsidRPr="00960FF5">
              <w:rPr>
                <w:lang w:val="en-GB"/>
              </w:rPr>
              <w:t>11.</w:t>
            </w:r>
            <w:r w:rsidR="005B0875" w:rsidRPr="00960FF5">
              <w:rPr>
                <w:lang w:val="en-GB"/>
              </w:rPr>
              <w:t>1</w:t>
            </w:r>
            <w:r w:rsidR="00A24199">
              <w:rPr>
                <w:lang w:val="en-GB"/>
              </w:rPr>
              <w:t>0</w:t>
            </w:r>
            <w:r w:rsidR="00661A04" w:rsidRPr="00960FF5">
              <w:rPr>
                <w:lang w:val="en-GB"/>
              </w:rPr>
              <w:t>.</w:t>
            </w:r>
          </w:p>
        </w:tc>
        <w:tc>
          <w:tcPr>
            <w:tcW w:w="8959" w:type="dxa"/>
            <w:gridSpan w:val="2"/>
          </w:tcPr>
          <w:p w14:paraId="01C3BF85" w14:textId="3D03BB4F" w:rsidR="00C61DE6" w:rsidRPr="00960FF5" w:rsidRDefault="00C61DE6" w:rsidP="00933AE6">
            <w:pPr>
              <w:adjustRightInd w:val="0"/>
              <w:spacing w:before="0" w:after="0"/>
              <w:jc w:val="both"/>
              <w:rPr>
                <w:b w:val="0"/>
                <w:bCs w:val="0"/>
                <w:sz w:val="18"/>
                <w:szCs w:val="18"/>
                <w:lang w:val="en-GB"/>
              </w:rPr>
            </w:pPr>
            <w:r w:rsidRPr="00960FF5">
              <w:rPr>
                <w:b w:val="0"/>
                <w:bCs w:val="0"/>
                <w:sz w:val="18"/>
                <w:szCs w:val="18"/>
                <w:lang w:val="en-GB"/>
              </w:rPr>
              <w:t>Green economy will require dedicated policy approaches embedded in a coherent, integrated strategy covering demand and supply aspects, both economy-wide and at the sectoral level. In this context, the key environmental principles of precaution, prevention, rectification of damage at source, and polluter pays, combined with a strong evidence base, remain most relevant and need to be more broadly and consistently applied.</w:t>
            </w:r>
          </w:p>
          <w:p w14:paraId="0B60A5C8" w14:textId="0600F2FF" w:rsidR="00661A04" w:rsidRPr="00960FF5" w:rsidRDefault="005B1031" w:rsidP="00933AE6">
            <w:pPr>
              <w:spacing w:before="0" w:after="0"/>
              <w:contextualSpacing/>
              <w:jc w:val="both"/>
              <w:rPr>
                <w:b w:val="0"/>
                <w:bCs w:val="0"/>
                <w:i/>
                <w:sz w:val="18"/>
                <w:szCs w:val="18"/>
                <w:lang w:val="en-GB"/>
              </w:rPr>
            </w:pPr>
            <w:r w:rsidRPr="005B1031">
              <w:rPr>
                <w:b w:val="0"/>
                <w:bCs w:val="0"/>
                <w:i/>
                <w:sz w:val="18"/>
                <w:szCs w:val="18"/>
                <w:lang w:val="en-GB"/>
              </w:rPr>
              <w:t xml:space="preserve">Writing exam-II. </w:t>
            </w:r>
            <w:r w:rsidR="00E7489A" w:rsidRPr="00960FF5">
              <w:rPr>
                <w:b w:val="0"/>
                <w:bCs w:val="0"/>
                <w:i/>
                <w:sz w:val="18"/>
                <w:szCs w:val="18"/>
                <w:lang w:val="en-GB"/>
              </w:rPr>
              <w:t>Presentation for case-study</w:t>
            </w:r>
          </w:p>
        </w:tc>
      </w:tr>
      <w:tr w:rsidR="00661A04" w:rsidRPr="00960FF5" w14:paraId="7CB49AF3" w14:textId="77777777" w:rsidTr="00862EA3">
        <w:trPr>
          <w:cantSplit/>
          <w:trHeight w:val="421"/>
          <w:jc w:val="center"/>
        </w:trPr>
        <w:tc>
          <w:tcPr>
            <w:tcW w:w="738" w:type="dxa"/>
          </w:tcPr>
          <w:p w14:paraId="3345AD98" w14:textId="77777777" w:rsidR="00661A04" w:rsidRPr="00960FF5" w:rsidRDefault="00661A04" w:rsidP="00661A04">
            <w:pPr>
              <w:pStyle w:val="Lers"/>
              <w:jc w:val="left"/>
              <w:rPr>
                <w:lang w:val="en-GB"/>
              </w:rPr>
            </w:pPr>
            <w:r w:rsidRPr="00960FF5">
              <w:rPr>
                <w:lang w:val="en-GB"/>
              </w:rPr>
              <w:t>11.</w:t>
            </w:r>
          </w:p>
        </w:tc>
        <w:tc>
          <w:tcPr>
            <w:tcW w:w="850" w:type="dxa"/>
            <w:vAlign w:val="center"/>
          </w:tcPr>
          <w:p w14:paraId="132165FB" w14:textId="5617781B" w:rsidR="00661A04" w:rsidRPr="00960FF5" w:rsidRDefault="00EC6697" w:rsidP="00661A04">
            <w:pPr>
              <w:pStyle w:val="Lers"/>
              <w:jc w:val="center"/>
              <w:rPr>
                <w:lang w:val="en-GB"/>
              </w:rPr>
            </w:pPr>
            <w:r w:rsidRPr="00960FF5">
              <w:rPr>
                <w:lang w:val="en-GB"/>
              </w:rPr>
              <w:t>1</w:t>
            </w:r>
            <w:r w:rsidR="0090545B" w:rsidRPr="00960FF5">
              <w:rPr>
                <w:lang w:val="en-GB"/>
              </w:rPr>
              <w:t>1</w:t>
            </w:r>
            <w:r w:rsidR="00661A04" w:rsidRPr="00960FF5">
              <w:rPr>
                <w:lang w:val="en-GB"/>
              </w:rPr>
              <w:t>.</w:t>
            </w:r>
            <w:r w:rsidR="0090545B" w:rsidRPr="00960FF5">
              <w:rPr>
                <w:lang w:val="en-GB"/>
              </w:rPr>
              <w:t>2</w:t>
            </w:r>
            <w:r w:rsidR="00A24199">
              <w:rPr>
                <w:lang w:val="en-GB"/>
              </w:rPr>
              <w:t>17</w:t>
            </w:r>
            <w:r w:rsidRPr="00960FF5">
              <w:rPr>
                <w:lang w:val="en-GB"/>
              </w:rPr>
              <w:t>.</w:t>
            </w:r>
          </w:p>
        </w:tc>
        <w:tc>
          <w:tcPr>
            <w:tcW w:w="8959" w:type="dxa"/>
            <w:gridSpan w:val="2"/>
          </w:tcPr>
          <w:p w14:paraId="3BC4B3FB" w14:textId="77777777" w:rsidR="00C61DE6" w:rsidRPr="00960FF5" w:rsidRDefault="00C61DE6" w:rsidP="00933AE6">
            <w:pPr>
              <w:pStyle w:val="Lers"/>
              <w:spacing w:before="0" w:after="0"/>
              <w:rPr>
                <w:sz w:val="18"/>
                <w:szCs w:val="18"/>
                <w:lang w:val="en-GB"/>
              </w:rPr>
            </w:pPr>
            <w:r w:rsidRPr="00960FF5">
              <w:rPr>
                <w:sz w:val="18"/>
                <w:szCs w:val="18"/>
                <w:lang w:val="en-GB"/>
              </w:rPr>
              <w:t>Human beings have faced other circumstances with lessons that could be valuable in adapting to any adverse impacts of climate change on water resources. These circumstances include increased pressure on limited surface and ground water re</w:t>
            </w:r>
            <w:r w:rsidRPr="00960FF5">
              <w:rPr>
                <w:sz w:val="18"/>
                <w:szCs w:val="18"/>
                <w:lang w:val="en-GB"/>
              </w:rPr>
              <w:softHyphen/>
              <w:t xml:space="preserve">sources due to population growth, </w:t>
            </w:r>
            <w:r w:rsidRPr="00960FF5">
              <w:rPr>
                <w:i/>
                <w:sz w:val="18"/>
                <w:szCs w:val="18"/>
                <w:lang w:val="en-GB"/>
              </w:rPr>
              <w:t>migration into arid or flood-prone areas</w:t>
            </w:r>
            <w:r w:rsidRPr="00960FF5">
              <w:rPr>
                <w:sz w:val="18"/>
                <w:szCs w:val="18"/>
                <w:lang w:val="en-GB"/>
              </w:rPr>
              <w:t xml:space="preserve">, periods of short-term and </w:t>
            </w:r>
            <w:r w:rsidRPr="00960FF5">
              <w:rPr>
                <w:i/>
                <w:sz w:val="18"/>
                <w:szCs w:val="18"/>
                <w:lang w:val="en-GB"/>
              </w:rPr>
              <w:t>prolonged drought</w:t>
            </w:r>
            <w:r w:rsidRPr="00960FF5">
              <w:rPr>
                <w:sz w:val="18"/>
                <w:szCs w:val="18"/>
                <w:lang w:val="en-GB"/>
              </w:rPr>
              <w:t xml:space="preserve">, and </w:t>
            </w:r>
            <w:r w:rsidRPr="00960FF5">
              <w:rPr>
                <w:i/>
                <w:sz w:val="18"/>
                <w:szCs w:val="18"/>
                <w:lang w:val="en-GB"/>
              </w:rPr>
              <w:t>degraded water quality</w:t>
            </w:r>
            <w:r w:rsidRPr="00960FF5">
              <w:rPr>
                <w:sz w:val="18"/>
                <w:szCs w:val="18"/>
                <w:lang w:val="en-GB"/>
              </w:rPr>
              <w:t>. Detailed institutional and legal mechanisms and ar</w:t>
            </w:r>
            <w:r w:rsidRPr="00960FF5">
              <w:rPr>
                <w:sz w:val="18"/>
                <w:szCs w:val="18"/>
                <w:lang w:val="en-GB"/>
              </w:rPr>
              <w:softHyphen/>
              <w:t xml:space="preserve">rangements have been established to make water more available and dependable, or of better quality. </w:t>
            </w:r>
          </w:p>
          <w:p w14:paraId="035205C9" w14:textId="76F1F804" w:rsidR="00661A04" w:rsidRPr="00960FF5" w:rsidRDefault="00E7489A" w:rsidP="00933AE6">
            <w:pPr>
              <w:pStyle w:val="Lers"/>
              <w:spacing w:before="0" w:after="0"/>
              <w:rPr>
                <w:i/>
                <w:sz w:val="18"/>
                <w:szCs w:val="18"/>
                <w:lang w:val="en-GB"/>
              </w:rPr>
            </w:pPr>
            <w:r w:rsidRPr="00960FF5">
              <w:rPr>
                <w:i/>
                <w:sz w:val="18"/>
                <w:szCs w:val="18"/>
                <w:lang w:val="en-GB"/>
              </w:rPr>
              <w:t>Presentation for case-study</w:t>
            </w:r>
          </w:p>
        </w:tc>
      </w:tr>
      <w:tr w:rsidR="00661A04" w:rsidRPr="00960FF5" w14:paraId="6E0D60CA" w14:textId="77777777" w:rsidTr="005C1F12">
        <w:trPr>
          <w:cantSplit/>
          <w:trHeight w:val="229"/>
          <w:jc w:val="center"/>
        </w:trPr>
        <w:tc>
          <w:tcPr>
            <w:tcW w:w="738" w:type="dxa"/>
          </w:tcPr>
          <w:p w14:paraId="37A95F8E" w14:textId="77777777" w:rsidR="00661A04" w:rsidRPr="00960FF5" w:rsidRDefault="00661A04" w:rsidP="00661A04">
            <w:pPr>
              <w:pStyle w:val="Lers"/>
              <w:jc w:val="left"/>
              <w:rPr>
                <w:lang w:val="en-GB"/>
              </w:rPr>
            </w:pPr>
            <w:r w:rsidRPr="00960FF5">
              <w:rPr>
                <w:lang w:val="en-GB"/>
              </w:rPr>
              <w:lastRenderedPageBreak/>
              <w:t>12.</w:t>
            </w:r>
          </w:p>
        </w:tc>
        <w:tc>
          <w:tcPr>
            <w:tcW w:w="850" w:type="dxa"/>
            <w:vAlign w:val="center"/>
          </w:tcPr>
          <w:p w14:paraId="77C39E21" w14:textId="7256A03F" w:rsidR="00661A04" w:rsidRPr="00960FF5" w:rsidRDefault="00661A04" w:rsidP="00661A04">
            <w:pPr>
              <w:pStyle w:val="Lers"/>
              <w:jc w:val="center"/>
              <w:rPr>
                <w:lang w:val="en-GB"/>
              </w:rPr>
            </w:pPr>
            <w:r w:rsidRPr="00960FF5">
              <w:rPr>
                <w:lang w:val="en-GB"/>
              </w:rPr>
              <w:t>1</w:t>
            </w:r>
            <w:r w:rsidR="00A24199">
              <w:rPr>
                <w:lang w:val="en-GB"/>
              </w:rPr>
              <w:t>1.24</w:t>
            </w:r>
            <w:r w:rsidR="00EC6697" w:rsidRPr="00960FF5">
              <w:rPr>
                <w:lang w:val="en-GB"/>
              </w:rPr>
              <w:t>.</w:t>
            </w:r>
          </w:p>
        </w:tc>
        <w:tc>
          <w:tcPr>
            <w:tcW w:w="8959" w:type="dxa"/>
            <w:gridSpan w:val="2"/>
          </w:tcPr>
          <w:p w14:paraId="65DD1E71" w14:textId="77777777" w:rsidR="00A24199" w:rsidRDefault="00933AE6" w:rsidP="00933AE6">
            <w:pPr>
              <w:pStyle w:val="Lers"/>
              <w:spacing w:before="0" w:after="0"/>
              <w:rPr>
                <w:i/>
                <w:sz w:val="18"/>
                <w:szCs w:val="18"/>
                <w:lang w:val="en-GB"/>
              </w:rPr>
            </w:pPr>
            <w:r w:rsidRPr="00960FF5">
              <w:rPr>
                <w:i/>
                <w:sz w:val="18"/>
                <w:szCs w:val="18"/>
                <w:lang w:val="en-GB"/>
              </w:rPr>
              <w:t xml:space="preserve">The </w:t>
            </w:r>
            <w:r w:rsidR="00FE6815" w:rsidRPr="00960FF5">
              <w:rPr>
                <w:i/>
                <w:sz w:val="18"/>
                <w:szCs w:val="18"/>
                <w:lang w:val="en-GB"/>
              </w:rPr>
              <w:t>water is often priced inefficiently, below its cost of delivery or its long-run marginal cost. This leads to overuse of water and the other resources needed to construct water supply facilities.</w:t>
            </w:r>
            <w:r w:rsidR="00FE6815" w:rsidRPr="00960FF5">
              <w:rPr>
                <w:sz w:val="18"/>
                <w:szCs w:val="18"/>
                <w:lang w:val="en-GB"/>
              </w:rPr>
              <w:t xml:space="preserve"> There is substan</w:t>
            </w:r>
            <w:r w:rsidR="00FE6815" w:rsidRPr="00960FF5">
              <w:rPr>
                <w:sz w:val="18"/>
                <w:szCs w:val="18"/>
                <w:lang w:val="en-GB"/>
              </w:rPr>
              <w:softHyphen/>
              <w:t>tial additional opportunity, for cities and irrigation districts to utilize pricing as a means of conserving water by employing marginal-cost pricing (charging for the cost of the last-added and most expensive increment of supply) or progressive-rate pricing (charging more per unit to users of large amounts).</w:t>
            </w:r>
            <w:r w:rsidR="00A24199" w:rsidRPr="00960FF5">
              <w:rPr>
                <w:i/>
                <w:sz w:val="18"/>
                <w:szCs w:val="18"/>
                <w:lang w:val="en-GB"/>
              </w:rPr>
              <w:t xml:space="preserve"> </w:t>
            </w:r>
          </w:p>
          <w:p w14:paraId="26964622" w14:textId="6EE5D34D" w:rsidR="00661A04" w:rsidRPr="00960FF5" w:rsidRDefault="00A24199" w:rsidP="00933AE6">
            <w:pPr>
              <w:pStyle w:val="Lers"/>
              <w:spacing w:before="0" w:after="0"/>
              <w:rPr>
                <w:iCs/>
                <w:sz w:val="18"/>
                <w:szCs w:val="18"/>
                <w:lang w:val="en-GB"/>
              </w:rPr>
            </w:pPr>
            <w:r w:rsidRPr="00960FF5">
              <w:rPr>
                <w:i/>
                <w:sz w:val="18"/>
                <w:szCs w:val="18"/>
                <w:lang w:val="en-GB"/>
              </w:rPr>
              <w:t>Oral-Examine-1 (Optional</w:t>
            </w:r>
            <w:r>
              <w:rPr>
                <w:i/>
                <w:sz w:val="18"/>
                <w:szCs w:val="18"/>
                <w:lang w:val="en-GB"/>
              </w:rPr>
              <w:t>)</w:t>
            </w:r>
          </w:p>
        </w:tc>
      </w:tr>
      <w:tr w:rsidR="00661A04" w:rsidRPr="00960FF5" w14:paraId="23271C70" w14:textId="77777777" w:rsidTr="00862EA3">
        <w:trPr>
          <w:cantSplit/>
          <w:trHeight w:val="389"/>
          <w:jc w:val="center"/>
        </w:trPr>
        <w:tc>
          <w:tcPr>
            <w:tcW w:w="738" w:type="dxa"/>
          </w:tcPr>
          <w:p w14:paraId="12470871" w14:textId="77777777" w:rsidR="00661A04" w:rsidRPr="00960FF5" w:rsidRDefault="00661A04" w:rsidP="00661A04">
            <w:pPr>
              <w:pStyle w:val="Lers"/>
              <w:jc w:val="left"/>
              <w:rPr>
                <w:lang w:val="en-GB"/>
              </w:rPr>
            </w:pPr>
            <w:r w:rsidRPr="00960FF5">
              <w:rPr>
                <w:lang w:val="en-GB"/>
              </w:rPr>
              <w:t>13.</w:t>
            </w:r>
          </w:p>
        </w:tc>
        <w:tc>
          <w:tcPr>
            <w:tcW w:w="850" w:type="dxa"/>
            <w:vAlign w:val="center"/>
          </w:tcPr>
          <w:p w14:paraId="4A1B8F9F" w14:textId="1E2A8A72" w:rsidR="00661A04" w:rsidRPr="00960FF5" w:rsidRDefault="00661A04" w:rsidP="00661A04">
            <w:pPr>
              <w:pStyle w:val="Lers"/>
              <w:jc w:val="center"/>
              <w:rPr>
                <w:lang w:val="en-GB"/>
              </w:rPr>
            </w:pPr>
            <w:r w:rsidRPr="00960FF5">
              <w:rPr>
                <w:lang w:val="en-GB"/>
              </w:rPr>
              <w:t>1</w:t>
            </w:r>
            <w:r w:rsidR="00560D94" w:rsidRPr="00960FF5">
              <w:rPr>
                <w:lang w:val="en-GB"/>
              </w:rPr>
              <w:t>2</w:t>
            </w:r>
            <w:r w:rsidRPr="00960FF5">
              <w:rPr>
                <w:lang w:val="en-GB"/>
              </w:rPr>
              <w:t>.</w:t>
            </w:r>
            <w:r w:rsidR="00560D94" w:rsidRPr="00960FF5">
              <w:rPr>
                <w:lang w:val="en-GB"/>
              </w:rPr>
              <w:t>0</w:t>
            </w:r>
            <w:r w:rsidR="00A24199">
              <w:rPr>
                <w:lang w:val="en-GB"/>
              </w:rPr>
              <w:t>1</w:t>
            </w:r>
            <w:r w:rsidR="00EC6697" w:rsidRPr="00960FF5">
              <w:rPr>
                <w:lang w:val="en-GB"/>
              </w:rPr>
              <w:t>.</w:t>
            </w:r>
          </w:p>
        </w:tc>
        <w:tc>
          <w:tcPr>
            <w:tcW w:w="8959" w:type="dxa"/>
            <w:gridSpan w:val="2"/>
          </w:tcPr>
          <w:p w14:paraId="506BDC3D" w14:textId="77777777" w:rsidR="00661A04" w:rsidRDefault="007078AD" w:rsidP="00A24199">
            <w:pPr>
              <w:adjustRightInd w:val="0"/>
              <w:spacing w:before="0" w:after="0"/>
              <w:jc w:val="both"/>
              <w:rPr>
                <w:b w:val="0"/>
                <w:bCs w:val="0"/>
                <w:i/>
                <w:sz w:val="18"/>
                <w:szCs w:val="18"/>
                <w:lang w:val="en-GB"/>
              </w:rPr>
            </w:pPr>
            <w:r w:rsidRPr="00A24199">
              <w:rPr>
                <w:b w:val="0"/>
                <w:bCs w:val="0"/>
                <w:sz w:val="18"/>
                <w:szCs w:val="18"/>
                <w:lang w:val="en-GB"/>
              </w:rPr>
              <w:t xml:space="preserve">Natural resources management </w:t>
            </w:r>
            <w:r w:rsidR="0003738C" w:rsidRPr="00A24199">
              <w:rPr>
                <w:b w:val="0"/>
                <w:bCs w:val="0"/>
                <w:sz w:val="18"/>
                <w:szCs w:val="18"/>
                <w:lang w:val="en-GB"/>
              </w:rPr>
              <w:t>programs include integrated river basin or watershed management programs; in</w:t>
            </w:r>
            <w:r w:rsidR="0003738C" w:rsidRPr="00A24199">
              <w:rPr>
                <w:b w:val="0"/>
                <w:bCs w:val="0"/>
                <w:sz w:val="18"/>
                <w:szCs w:val="18"/>
                <w:lang w:val="en-GB"/>
              </w:rPr>
              <w:softHyphen/>
              <w:t>tegration with forestry practices and reforestation in upland areas; soil conservation, forage selection, livestock grazing practices, land management, and other agricultural practices in the plains; and coastal estuarine, marsh, and mangrove management.</w:t>
            </w:r>
            <w:r w:rsidRPr="00960FF5">
              <w:rPr>
                <w:b w:val="0"/>
                <w:bCs w:val="0"/>
                <w:i/>
                <w:sz w:val="18"/>
                <w:szCs w:val="18"/>
                <w:lang w:val="en-GB"/>
              </w:rPr>
              <w:t xml:space="preserve"> </w:t>
            </w:r>
          </w:p>
          <w:p w14:paraId="1E61A5EC" w14:textId="54ECEC3F" w:rsidR="005B1031" w:rsidRPr="005B1031" w:rsidRDefault="005B1031" w:rsidP="00A24199">
            <w:pPr>
              <w:adjustRightInd w:val="0"/>
              <w:spacing w:before="0" w:after="0"/>
              <w:jc w:val="both"/>
              <w:rPr>
                <w:b w:val="0"/>
                <w:bCs w:val="0"/>
                <w:i/>
                <w:sz w:val="18"/>
                <w:szCs w:val="18"/>
                <w:lang w:val="en-GB"/>
              </w:rPr>
            </w:pPr>
            <w:r w:rsidRPr="005B1031">
              <w:rPr>
                <w:b w:val="0"/>
                <w:bCs w:val="0"/>
                <w:i/>
                <w:sz w:val="18"/>
                <w:szCs w:val="18"/>
                <w:lang w:val="en-GB"/>
              </w:rPr>
              <w:t>Presentation for case-study</w:t>
            </w:r>
          </w:p>
        </w:tc>
      </w:tr>
      <w:tr w:rsidR="00661A04" w:rsidRPr="00960FF5" w14:paraId="06B749F0" w14:textId="77777777" w:rsidTr="00862EA3">
        <w:trPr>
          <w:cantSplit/>
          <w:trHeight w:val="409"/>
          <w:jc w:val="center"/>
        </w:trPr>
        <w:tc>
          <w:tcPr>
            <w:tcW w:w="738" w:type="dxa"/>
          </w:tcPr>
          <w:p w14:paraId="2E7AB607" w14:textId="77777777" w:rsidR="00661A04" w:rsidRPr="00960FF5" w:rsidRDefault="00661A04" w:rsidP="00661A04">
            <w:pPr>
              <w:pStyle w:val="Lers"/>
              <w:jc w:val="left"/>
              <w:rPr>
                <w:lang w:val="en-GB"/>
              </w:rPr>
            </w:pPr>
            <w:r w:rsidRPr="00960FF5">
              <w:rPr>
                <w:lang w:val="en-GB"/>
              </w:rPr>
              <w:t>14.</w:t>
            </w:r>
          </w:p>
        </w:tc>
        <w:tc>
          <w:tcPr>
            <w:tcW w:w="850" w:type="dxa"/>
            <w:vAlign w:val="center"/>
          </w:tcPr>
          <w:p w14:paraId="34A5ED01" w14:textId="23908C09" w:rsidR="00661A04" w:rsidRPr="00960FF5" w:rsidRDefault="00661A04" w:rsidP="00661A04">
            <w:pPr>
              <w:pStyle w:val="Lers"/>
              <w:jc w:val="center"/>
              <w:rPr>
                <w:lang w:val="en-GB"/>
              </w:rPr>
            </w:pPr>
            <w:r w:rsidRPr="00960FF5">
              <w:rPr>
                <w:lang w:val="en-GB"/>
              </w:rPr>
              <w:t>1</w:t>
            </w:r>
            <w:r w:rsidR="00EC6697" w:rsidRPr="00960FF5">
              <w:rPr>
                <w:lang w:val="en-GB"/>
              </w:rPr>
              <w:t>2.0</w:t>
            </w:r>
            <w:r w:rsidR="00A24199">
              <w:rPr>
                <w:lang w:val="en-GB"/>
              </w:rPr>
              <w:t>8</w:t>
            </w:r>
            <w:r w:rsidR="00EC6697" w:rsidRPr="00960FF5">
              <w:rPr>
                <w:lang w:val="en-GB"/>
              </w:rPr>
              <w:t>.</w:t>
            </w:r>
          </w:p>
        </w:tc>
        <w:tc>
          <w:tcPr>
            <w:tcW w:w="8959" w:type="dxa"/>
            <w:gridSpan w:val="2"/>
          </w:tcPr>
          <w:p w14:paraId="255091E0" w14:textId="1B4D462A" w:rsidR="007078AD" w:rsidRPr="00A24199" w:rsidRDefault="007078AD" w:rsidP="00A24199">
            <w:pPr>
              <w:adjustRightInd w:val="0"/>
              <w:spacing w:before="0" w:after="0"/>
              <w:jc w:val="both"/>
              <w:rPr>
                <w:b w:val="0"/>
                <w:bCs w:val="0"/>
                <w:i/>
                <w:sz w:val="18"/>
                <w:szCs w:val="18"/>
                <w:lang w:val="en-GB"/>
              </w:rPr>
            </w:pPr>
            <w:r w:rsidRPr="00960FF5">
              <w:rPr>
                <w:b w:val="0"/>
                <w:bCs w:val="0"/>
                <w:sz w:val="18"/>
                <w:szCs w:val="18"/>
                <w:lang w:val="en-GB"/>
              </w:rPr>
              <w:t>Waste management continues to shift from disposal to recycling and prevention. Any society with a history of rapid growth of industry and consumption faces the issue of sustainable waste management, and for Europe, this issue continues to raise considerable concerns.</w:t>
            </w:r>
            <w:r w:rsidR="00A24199">
              <w:rPr>
                <w:b w:val="0"/>
                <w:bCs w:val="0"/>
                <w:sz w:val="18"/>
                <w:szCs w:val="18"/>
                <w:lang w:val="en-GB"/>
              </w:rPr>
              <w:t xml:space="preserve"> </w:t>
            </w:r>
            <w:r w:rsidRPr="00A24199">
              <w:rPr>
                <w:b w:val="0"/>
                <w:bCs w:val="0"/>
                <w:sz w:val="18"/>
                <w:szCs w:val="18"/>
                <w:lang w:val="en-GB"/>
              </w:rPr>
              <w:t xml:space="preserve">The EU is committed to reducing waste </w:t>
            </w:r>
            <w:r w:rsidRPr="00A24199">
              <w:rPr>
                <w:b w:val="0"/>
                <w:bCs w:val="0"/>
                <w:i/>
                <w:iCs/>
                <w:sz w:val="18"/>
                <w:szCs w:val="18"/>
                <w:lang w:val="en-GB"/>
              </w:rPr>
              <w:t xml:space="preserve">generation, </w:t>
            </w:r>
            <w:r w:rsidRPr="00A24199">
              <w:rPr>
                <w:b w:val="0"/>
                <w:bCs w:val="0"/>
                <w:sz w:val="18"/>
                <w:szCs w:val="18"/>
                <w:lang w:val="en-GB"/>
              </w:rPr>
              <w:t>but is not succeeding. Trends for those waste streams for which data are available indicate the need to reduce the generation of waste in absolute terms to ensure further reduction of environmental impacts. In 2006, EU-27 Member States produced some 3 billion tonnes of waste - an average of 6 tonnes per person.</w:t>
            </w:r>
          </w:p>
          <w:p w14:paraId="5C821D9F" w14:textId="0CD01209" w:rsidR="00661A04" w:rsidRPr="00960FF5" w:rsidRDefault="00E7489A" w:rsidP="00933AE6">
            <w:pPr>
              <w:pStyle w:val="Lers"/>
              <w:spacing w:before="0" w:after="0"/>
              <w:rPr>
                <w:i/>
                <w:sz w:val="18"/>
                <w:szCs w:val="18"/>
                <w:lang w:val="en-GB"/>
              </w:rPr>
            </w:pPr>
            <w:r w:rsidRPr="00960FF5">
              <w:rPr>
                <w:i/>
                <w:sz w:val="18"/>
                <w:szCs w:val="18"/>
                <w:lang w:val="en-GB"/>
              </w:rPr>
              <w:t>Oral-Examine-2 (Optional)</w:t>
            </w:r>
          </w:p>
        </w:tc>
      </w:tr>
      <w:tr w:rsidR="00661A04" w:rsidRPr="00960FF5" w14:paraId="40DAD594" w14:textId="77777777" w:rsidTr="007B6624">
        <w:trPr>
          <w:cantSplit/>
          <w:trHeight w:val="278"/>
          <w:jc w:val="center"/>
        </w:trPr>
        <w:tc>
          <w:tcPr>
            <w:tcW w:w="10547" w:type="dxa"/>
            <w:gridSpan w:val="4"/>
            <w:shd w:val="clear" w:color="auto" w:fill="C0C0C0"/>
            <w:vAlign w:val="center"/>
          </w:tcPr>
          <w:p w14:paraId="409C2240" w14:textId="77777777" w:rsidR="00661A04" w:rsidRPr="00960FF5" w:rsidRDefault="00661A04" w:rsidP="00661A04">
            <w:pPr>
              <w:pStyle w:val="Cmsor2"/>
              <w:jc w:val="center"/>
              <w:rPr>
                <w:b/>
                <w:bCs/>
                <w:lang w:val="en-GB"/>
              </w:rPr>
            </w:pPr>
            <w:proofErr w:type="spellStart"/>
            <w:r w:rsidRPr="00960FF5">
              <w:rPr>
                <w:b/>
                <w:bCs/>
                <w:lang w:val="en-GB"/>
              </w:rPr>
              <w:t>Félévközi</w:t>
            </w:r>
            <w:proofErr w:type="spellEnd"/>
            <w:r w:rsidRPr="00960FF5">
              <w:rPr>
                <w:b/>
                <w:bCs/>
                <w:lang w:val="en-GB"/>
              </w:rPr>
              <w:t xml:space="preserve"> </w:t>
            </w:r>
            <w:proofErr w:type="spellStart"/>
            <w:r w:rsidRPr="00960FF5">
              <w:rPr>
                <w:b/>
                <w:bCs/>
                <w:lang w:val="en-GB"/>
              </w:rPr>
              <w:t>követelmények</w:t>
            </w:r>
            <w:proofErr w:type="spellEnd"/>
          </w:p>
        </w:tc>
      </w:tr>
      <w:tr w:rsidR="00661A04" w:rsidRPr="00960FF5" w14:paraId="1138E5A1" w14:textId="77777777" w:rsidTr="007B6624">
        <w:trPr>
          <w:cantSplit/>
          <w:trHeight w:val="278"/>
          <w:jc w:val="center"/>
        </w:trPr>
        <w:tc>
          <w:tcPr>
            <w:tcW w:w="10547" w:type="dxa"/>
            <w:gridSpan w:val="4"/>
            <w:shd w:val="clear" w:color="auto" w:fill="C0C0C0"/>
            <w:vAlign w:val="center"/>
          </w:tcPr>
          <w:p w14:paraId="264070EC" w14:textId="77777777" w:rsidR="00661A04" w:rsidRPr="00960FF5" w:rsidRDefault="00661A04" w:rsidP="00661A04">
            <w:pPr>
              <w:pStyle w:val="Cmsor2"/>
              <w:rPr>
                <w:lang w:val="en-GB"/>
              </w:rPr>
            </w:pPr>
            <w:proofErr w:type="spellStart"/>
            <w:r w:rsidRPr="00960FF5">
              <w:rPr>
                <w:lang w:val="en-GB"/>
              </w:rPr>
              <w:t>Foglalkozásokon</w:t>
            </w:r>
            <w:proofErr w:type="spellEnd"/>
            <w:r w:rsidRPr="00960FF5">
              <w:rPr>
                <w:lang w:val="en-GB"/>
              </w:rPr>
              <w:t xml:space="preserve"> </w:t>
            </w:r>
            <w:proofErr w:type="spellStart"/>
            <w:r w:rsidRPr="00960FF5">
              <w:rPr>
                <w:lang w:val="en-GB"/>
              </w:rPr>
              <w:t>való</w:t>
            </w:r>
            <w:proofErr w:type="spellEnd"/>
            <w:r w:rsidRPr="00960FF5">
              <w:rPr>
                <w:lang w:val="en-GB"/>
              </w:rPr>
              <w:t xml:space="preserve"> </w:t>
            </w:r>
            <w:proofErr w:type="spellStart"/>
            <w:r w:rsidRPr="00960FF5">
              <w:rPr>
                <w:lang w:val="en-GB"/>
              </w:rPr>
              <w:t>részvétel</w:t>
            </w:r>
            <w:proofErr w:type="spellEnd"/>
            <w:r w:rsidRPr="00960FF5">
              <w:rPr>
                <w:lang w:val="en-GB"/>
              </w:rPr>
              <w:t>:</w:t>
            </w:r>
          </w:p>
        </w:tc>
      </w:tr>
      <w:tr w:rsidR="00661A04" w:rsidRPr="00960FF5" w14:paraId="51002522" w14:textId="77777777" w:rsidTr="007B6624">
        <w:trPr>
          <w:cantSplit/>
          <w:trHeight w:val="531"/>
          <w:jc w:val="center"/>
        </w:trPr>
        <w:tc>
          <w:tcPr>
            <w:tcW w:w="10547" w:type="dxa"/>
            <w:gridSpan w:val="4"/>
          </w:tcPr>
          <w:p w14:paraId="4ECE0770" w14:textId="641C8561" w:rsidR="00661A04" w:rsidRPr="00960FF5" w:rsidRDefault="00043992" w:rsidP="00043992">
            <w:pPr>
              <w:pStyle w:val="Lers"/>
              <w:rPr>
                <w:lang w:val="en-GB"/>
              </w:rPr>
            </w:pPr>
            <w:r w:rsidRPr="00960FF5">
              <w:rPr>
                <w:rStyle w:val="Finomkiemels"/>
                <w:sz w:val="18"/>
                <w:szCs w:val="18"/>
                <w:lang w:val="en-GB"/>
              </w:rPr>
              <w:t>Active participation in occupational (due to the exceeding the clearance of the TVSZ is disabled), the administration of the thesis to be administered and a 20-minute presentation of students from the deadline. EKHT Rating: "did not meet / meet / appropriately comply". The subject of the written exam is to be injected. The deadline for mid-term responses is possible with the payment obligation under the TTSZ, with the printed verification of the performance. The "Excellent" interim task gives the opportunity - exceptionally, in the border, to round the result of the written exam, to obtain a better interim remark. If the student cannot fulfil the requirements of the interim remark during the term of the extension, on the first 10 working days of the exam period, a new attempt may take another attempt at the remuneration under TTSZ.</w:t>
            </w:r>
          </w:p>
        </w:tc>
      </w:tr>
      <w:tr w:rsidR="00661A04" w:rsidRPr="00960FF5" w14:paraId="6C7FA31D" w14:textId="77777777" w:rsidTr="007B6624">
        <w:trPr>
          <w:cantSplit/>
          <w:trHeight w:val="257"/>
          <w:jc w:val="center"/>
        </w:trPr>
        <w:tc>
          <w:tcPr>
            <w:tcW w:w="10547" w:type="dxa"/>
            <w:gridSpan w:val="4"/>
            <w:shd w:val="clear" w:color="auto" w:fill="C0C0C0"/>
          </w:tcPr>
          <w:p w14:paraId="0D9D7434" w14:textId="77777777" w:rsidR="00661A04" w:rsidRPr="00960FF5" w:rsidRDefault="00661A04" w:rsidP="00661A04">
            <w:pPr>
              <w:pStyle w:val="Cmsor2"/>
              <w:rPr>
                <w:lang w:val="en-GB"/>
              </w:rPr>
            </w:pPr>
            <w:proofErr w:type="spellStart"/>
            <w:r w:rsidRPr="00960FF5">
              <w:rPr>
                <w:lang w:val="en-GB"/>
              </w:rPr>
              <w:t>Zárthelyik</w:t>
            </w:r>
            <w:proofErr w:type="spellEnd"/>
            <w:r w:rsidRPr="00960FF5">
              <w:rPr>
                <w:lang w:val="en-GB"/>
              </w:rPr>
              <w:t xml:space="preserve">, </w:t>
            </w:r>
            <w:proofErr w:type="spellStart"/>
            <w:r w:rsidRPr="00960FF5">
              <w:rPr>
                <w:lang w:val="en-GB"/>
              </w:rPr>
              <w:t>jegyzőkönyvek</w:t>
            </w:r>
            <w:proofErr w:type="spellEnd"/>
            <w:r w:rsidRPr="00960FF5">
              <w:rPr>
                <w:lang w:val="en-GB"/>
              </w:rPr>
              <w:t xml:space="preserve">, </w:t>
            </w:r>
            <w:proofErr w:type="spellStart"/>
            <w:r w:rsidRPr="00960FF5">
              <w:rPr>
                <w:lang w:val="en-GB"/>
              </w:rPr>
              <w:t>beszámolók</w:t>
            </w:r>
            <w:proofErr w:type="spellEnd"/>
            <w:r w:rsidRPr="00960FF5">
              <w:rPr>
                <w:lang w:val="en-GB"/>
              </w:rPr>
              <w:t xml:space="preserve">, </w:t>
            </w:r>
            <w:proofErr w:type="spellStart"/>
            <w:r w:rsidRPr="00960FF5">
              <w:rPr>
                <w:lang w:val="en-GB"/>
              </w:rPr>
              <w:t>stb</w:t>
            </w:r>
            <w:proofErr w:type="spellEnd"/>
            <w:r w:rsidRPr="00960FF5">
              <w:rPr>
                <w:lang w:val="en-GB"/>
              </w:rPr>
              <w:t>. (</w:t>
            </w:r>
            <w:proofErr w:type="spellStart"/>
            <w:r w:rsidRPr="00960FF5">
              <w:rPr>
                <w:lang w:val="en-GB"/>
              </w:rPr>
              <w:t>száma</w:t>
            </w:r>
            <w:proofErr w:type="spellEnd"/>
            <w:r w:rsidRPr="00960FF5">
              <w:rPr>
                <w:lang w:val="en-GB"/>
              </w:rPr>
              <w:t xml:space="preserve">, </w:t>
            </w:r>
            <w:proofErr w:type="spellStart"/>
            <w:r w:rsidRPr="00960FF5">
              <w:rPr>
                <w:lang w:val="en-GB"/>
              </w:rPr>
              <w:t>időpontja</w:t>
            </w:r>
            <w:proofErr w:type="spellEnd"/>
            <w:r w:rsidRPr="00960FF5">
              <w:rPr>
                <w:lang w:val="en-GB"/>
              </w:rPr>
              <w:t>)</w:t>
            </w:r>
          </w:p>
        </w:tc>
      </w:tr>
      <w:tr w:rsidR="00661A04" w:rsidRPr="00960FF5" w14:paraId="07F9F98B" w14:textId="77777777" w:rsidTr="007B6624">
        <w:trPr>
          <w:cantSplit/>
          <w:trHeight w:val="268"/>
          <w:jc w:val="center"/>
        </w:trPr>
        <w:tc>
          <w:tcPr>
            <w:tcW w:w="738" w:type="dxa"/>
          </w:tcPr>
          <w:p w14:paraId="77A18086" w14:textId="77777777" w:rsidR="00661A04" w:rsidRPr="00960FF5" w:rsidRDefault="00661A04" w:rsidP="00661A04">
            <w:pPr>
              <w:pStyle w:val="Lers"/>
              <w:rPr>
                <w:lang w:val="en-GB"/>
              </w:rPr>
            </w:pPr>
          </w:p>
        </w:tc>
        <w:tc>
          <w:tcPr>
            <w:tcW w:w="9809" w:type="dxa"/>
            <w:gridSpan w:val="3"/>
          </w:tcPr>
          <w:p w14:paraId="09CC9197" w14:textId="175C91B0" w:rsidR="00661A04" w:rsidRPr="00960FF5" w:rsidRDefault="00661A04" w:rsidP="00661A04">
            <w:pPr>
              <w:widowControl/>
              <w:spacing w:before="0" w:after="0"/>
              <w:rPr>
                <w:b w:val="0"/>
                <w:bCs w:val="0"/>
                <w:sz w:val="18"/>
                <w:szCs w:val="18"/>
                <w:lang w:val="en-GB"/>
              </w:rPr>
            </w:pPr>
            <w:r w:rsidRPr="00960FF5">
              <w:rPr>
                <w:b w:val="0"/>
                <w:bCs w:val="0"/>
                <w:sz w:val="18"/>
                <w:szCs w:val="18"/>
                <w:lang w:val="en-GB"/>
              </w:rPr>
              <w:t xml:space="preserve">2 </w:t>
            </w:r>
            <w:r w:rsidR="00043992" w:rsidRPr="00960FF5">
              <w:rPr>
                <w:b w:val="0"/>
                <w:bCs w:val="0"/>
                <w:sz w:val="18"/>
                <w:szCs w:val="18"/>
                <w:lang w:val="en-GB"/>
              </w:rPr>
              <w:t>writing exams, 2 oral exams, 3 presentations from Given mat</w:t>
            </w:r>
            <w:r w:rsidR="0066068F" w:rsidRPr="00960FF5">
              <w:rPr>
                <w:b w:val="0"/>
                <w:bCs w:val="0"/>
                <w:sz w:val="18"/>
                <w:szCs w:val="18"/>
                <w:lang w:val="en-GB"/>
              </w:rPr>
              <w:t>e</w:t>
            </w:r>
            <w:r w:rsidR="00043992" w:rsidRPr="00960FF5">
              <w:rPr>
                <w:b w:val="0"/>
                <w:bCs w:val="0"/>
                <w:sz w:val="18"/>
                <w:szCs w:val="18"/>
                <w:lang w:val="en-GB"/>
              </w:rPr>
              <w:t>rial, Study region and Case study</w:t>
            </w:r>
            <w:r w:rsidR="0066068F" w:rsidRPr="00960FF5">
              <w:rPr>
                <w:b w:val="0"/>
                <w:bCs w:val="0"/>
                <w:sz w:val="18"/>
                <w:szCs w:val="18"/>
                <w:lang w:val="en-GB"/>
              </w:rPr>
              <w:t>.</w:t>
            </w:r>
            <w:r w:rsidR="00043992" w:rsidRPr="00960FF5">
              <w:rPr>
                <w:b w:val="0"/>
                <w:bCs w:val="0"/>
                <w:sz w:val="18"/>
                <w:szCs w:val="18"/>
                <w:lang w:val="en-GB"/>
              </w:rPr>
              <w:t xml:space="preserve"> </w:t>
            </w:r>
          </w:p>
        </w:tc>
      </w:tr>
      <w:tr w:rsidR="00661A04" w:rsidRPr="00960FF5" w14:paraId="0D28152D" w14:textId="77777777" w:rsidTr="007B6624">
        <w:trPr>
          <w:cantSplit/>
          <w:trHeight w:val="268"/>
          <w:jc w:val="center"/>
        </w:trPr>
        <w:tc>
          <w:tcPr>
            <w:tcW w:w="738" w:type="dxa"/>
          </w:tcPr>
          <w:p w14:paraId="1BE6F901" w14:textId="77777777" w:rsidR="00661A04" w:rsidRPr="00960FF5" w:rsidRDefault="00661A04" w:rsidP="00661A04">
            <w:pPr>
              <w:pStyle w:val="Lers"/>
              <w:rPr>
                <w:lang w:val="en-GB"/>
              </w:rPr>
            </w:pPr>
          </w:p>
        </w:tc>
        <w:tc>
          <w:tcPr>
            <w:tcW w:w="9809" w:type="dxa"/>
            <w:gridSpan w:val="3"/>
          </w:tcPr>
          <w:p w14:paraId="06EB54FD" w14:textId="37B0DD22" w:rsidR="00661A04" w:rsidRPr="00960FF5" w:rsidRDefault="0066068F" w:rsidP="00661A04">
            <w:pPr>
              <w:pStyle w:val="Lers"/>
              <w:rPr>
                <w:b/>
                <w:bCs/>
                <w:sz w:val="18"/>
                <w:szCs w:val="18"/>
                <w:lang w:val="en-GB"/>
              </w:rPr>
            </w:pPr>
            <w:r w:rsidRPr="00960FF5">
              <w:rPr>
                <w:rStyle w:val="Kiemels2"/>
                <w:b w:val="0"/>
                <w:bCs w:val="0"/>
                <w:sz w:val="18"/>
                <w:szCs w:val="18"/>
                <w:lang w:val="en-GB"/>
              </w:rPr>
              <w:t xml:space="preserve">The replacement-closed site is the exam duration </w:t>
            </w:r>
            <w:proofErr w:type="spellStart"/>
            <w:r w:rsidRPr="00960FF5">
              <w:rPr>
                <w:rStyle w:val="Kiemels2"/>
                <w:b w:val="0"/>
                <w:bCs w:val="0"/>
                <w:sz w:val="18"/>
                <w:szCs w:val="18"/>
                <w:lang w:val="en-GB"/>
              </w:rPr>
              <w:t>TVSz</w:t>
            </w:r>
            <w:proofErr w:type="spellEnd"/>
            <w:r w:rsidRPr="00960FF5">
              <w:rPr>
                <w:rStyle w:val="Kiemels2"/>
                <w:b w:val="0"/>
                <w:bCs w:val="0"/>
                <w:sz w:val="18"/>
                <w:szCs w:val="18"/>
                <w:lang w:val="en-GB"/>
              </w:rPr>
              <w:t>. prescribed for the period prescribed.</w:t>
            </w:r>
          </w:p>
        </w:tc>
      </w:tr>
      <w:tr w:rsidR="00661A04" w:rsidRPr="00960FF5" w14:paraId="6C046E6D" w14:textId="77777777" w:rsidTr="007B6624">
        <w:trPr>
          <w:cantSplit/>
          <w:trHeight w:val="257"/>
          <w:jc w:val="center"/>
        </w:trPr>
        <w:tc>
          <w:tcPr>
            <w:tcW w:w="10547" w:type="dxa"/>
            <w:gridSpan w:val="4"/>
            <w:shd w:val="clear" w:color="auto" w:fill="C0C0C0"/>
          </w:tcPr>
          <w:p w14:paraId="55C119B7" w14:textId="77777777" w:rsidR="00661A04" w:rsidRPr="00960FF5" w:rsidRDefault="00661A04" w:rsidP="00661A04">
            <w:pPr>
              <w:pStyle w:val="Cmsor2"/>
              <w:rPr>
                <w:lang w:val="en-GB"/>
              </w:rPr>
            </w:pPr>
            <w:r w:rsidRPr="00960FF5">
              <w:rPr>
                <w:lang w:val="en-GB"/>
              </w:rPr>
              <w:t xml:space="preserve">Az </w:t>
            </w:r>
            <w:proofErr w:type="spellStart"/>
            <w:r w:rsidRPr="00960FF5">
              <w:rPr>
                <w:lang w:val="en-GB"/>
              </w:rPr>
              <w:t>aláírás</w:t>
            </w:r>
            <w:proofErr w:type="spellEnd"/>
            <w:r w:rsidRPr="00960FF5">
              <w:rPr>
                <w:lang w:val="en-GB"/>
              </w:rPr>
              <w:t xml:space="preserve"> </w:t>
            </w:r>
            <w:proofErr w:type="spellStart"/>
            <w:r w:rsidRPr="00960FF5">
              <w:rPr>
                <w:lang w:val="en-GB"/>
              </w:rPr>
              <w:t>megszerzésének</w:t>
            </w:r>
            <w:proofErr w:type="spellEnd"/>
            <w:r w:rsidRPr="00960FF5">
              <w:rPr>
                <w:lang w:val="en-GB"/>
              </w:rPr>
              <w:t>/</w:t>
            </w:r>
            <w:proofErr w:type="spellStart"/>
            <w:r w:rsidRPr="00960FF5">
              <w:rPr>
                <w:b/>
                <w:lang w:val="en-GB"/>
              </w:rPr>
              <w:t>félévközi</w:t>
            </w:r>
            <w:proofErr w:type="spellEnd"/>
            <w:r w:rsidRPr="00960FF5">
              <w:rPr>
                <w:b/>
                <w:lang w:val="en-GB"/>
              </w:rPr>
              <w:t xml:space="preserve"> </w:t>
            </w:r>
            <w:proofErr w:type="spellStart"/>
            <w:r w:rsidRPr="00960FF5">
              <w:rPr>
                <w:b/>
                <w:lang w:val="en-GB"/>
              </w:rPr>
              <w:t>jegy</w:t>
            </w:r>
            <w:proofErr w:type="spellEnd"/>
            <w:r w:rsidRPr="00960FF5">
              <w:rPr>
                <w:lang w:val="en-GB"/>
              </w:rPr>
              <w:t xml:space="preserve"> </w:t>
            </w:r>
            <w:proofErr w:type="spellStart"/>
            <w:r w:rsidRPr="00960FF5">
              <w:rPr>
                <w:lang w:val="en-GB"/>
              </w:rPr>
              <w:t>kialakításának</w:t>
            </w:r>
            <w:proofErr w:type="spellEnd"/>
            <w:r w:rsidRPr="00960FF5">
              <w:rPr>
                <w:lang w:val="en-GB"/>
              </w:rPr>
              <w:t xml:space="preserve"> </w:t>
            </w:r>
            <w:proofErr w:type="spellStart"/>
            <w:r w:rsidRPr="00960FF5">
              <w:rPr>
                <w:lang w:val="en-GB"/>
              </w:rPr>
              <w:t>módszere</w:t>
            </w:r>
            <w:proofErr w:type="spellEnd"/>
            <w:r w:rsidRPr="00960FF5">
              <w:rPr>
                <w:lang w:val="en-GB"/>
              </w:rPr>
              <w:t>:</w:t>
            </w:r>
          </w:p>
        </w:tc>
      </w:tr>
      <w:tr w:rsidR="00661A04" w:rsidRPr="00960FF5" w14:paraId="3F37D7C8" w14:textId="77777777" w:rsidTr="007B6624">
        <w:trPr>
          <w:cantSplit/>
          <w:trHeight w:val="530"/>
          <w:jc w:val="center"/>
        </w:trPr>
        <w:tc>
          <w:tcPr>
            <w:tcW w:w="10547" w:type="dxa"/>
            <w:gridSpan w:val="4"/>
          </w:tcPr>
          <w:p w14:paraId="70FD4473" w14:textId="38F67767" w:rsidR="00661A04" w:rsidRPr="00960FF5" w:rsidRDefault="00043992" w:rsidP="00043992">
            <w:pPr>
              <w:pStyle w:val="Lers"/>
              <w:rPr>
                <w:sz w:val="18"/>
                <w:szCs w:val="18"/>
                <w:lang w:val="en-GB"/>
              </w:rPr>
            </w:pPr>
            <w:r w:rsidRPr="00960FF5">
              <w:rPr>
                <w:sz w:val="18"/>
                <w:szCs w:val="18"/>
                <w:lang w:val="en-GB"/>
              </w:rPr>
              <w:t xml:space="preserve">Results and remarks of 2 writing exams, 2 oral exams </w:t>
            </w:r>
          </w:p>
        </w:tc>
      </w:tr>
      <w:tr w:rsidR="00661A04" w:rsidRPr="00960FF5" w14:paraId="1714595A" w14:textId="77777777" w:rsidTr="007B6624">
        <w:trPr>
          <w:cantSplit/>
          <w:trHeight w:val="255"/>
          <w:jc w:val="center"/>
        </w:trPr>
        <w:tc>
          <w:tcPr>
            <w:tcW w:w="10547" w:type="dxa"/>
            <w:gridSpan w:val="4"/>
            <w:shd w:val="clear" w:color="auto" w:fill="C0C0C0"/>
          </w:tcPr>
          <w:p w14:paraId="5C5DD72A" w14:textId="77777777" w:rsidR="00661A04" w:rsidRPr="00960FF5" w:rsidRDefault="00661A04" w:rsidP="00661A04">
            <w:pPr>
              <w:pStyle w:val="Cmsor2"/>
              <w:rPr>
                <w:lang w:val="en-GB"/>
              </w:rPr>
            </w:pPr>
            <w:r w:rsidRPr="00960FF5">
              <w:rPr>
                <w:lang w:val="en-GB"/>
              </w:rPr>
              <w:t xml:space="preserve">A </w:t>
            </w:r>
            <w:proofErr w:type="spellStart"/>
            <w:r w:rsidRPr="00960FF5">
              <w:rPr>
                <w:lang w:val="en-GB"/>
              </w:rPr>
              <w:t>vizsga</w:t>
            </w:r>
            <w:proofErr w:type="spellEnd"/>
            <w:r w:rsidRPr="00960FF5">
              <w:rPr>
                <w:lang w:val="en-GB"/>
              </w:rPr>
              <w:t xml:space="preserve"> </w:t>
            </w:r>
            <w:proofErr w:type="spellStart"/>
            <w:r w:rsidRPr="00960FF5">
              <w:rPr>
                <w:lang w:val="en-GB"/>
              </w:rPr>
              <w:t>módja</w:t>
            </w:r>
            <w:proofErr w:type="spellEnd"/>
            <w:r w:rsidRPr="00960FF5">
              <w:rPr>
                <w:lang w:val="en-GB"/>
              </w:rPr>
              <w:t xml:space="preserve"> (</w:t>
            </w:r>
            <w:proofErr w:type="spellStart"/>
            <w:r w:rsidRPr="00960FF5">
              <w:rPr>
                <w:lang w:val="en-GB"/>
              </w:rPr>
              <w:t>írásbeli</w:t>
            </w:r>
            <w:proofErr w:type="spellEnd"/>
            <w:r w:rsidRPr="00960FF5">
              <w:rPr>
                <w:lang w:val="en-GB"/>
              </w:rPr>
              <w:t xml:space="preserve">, </w:t>
            </w:r>
            <w:proofErr w:type="spellStart"/>
            <w:r w:rsidRPr="00960FF5">
              <w:rPr>
                <w:lang w:val="en-GB"/>
              </w:rPr>
              <w:t>szóbeli</w:t>
            </w:r>
            <w:proofErr w:type="spellEnd"/>
            <w:r w:rsidRPr="00960FF5">
              <w:rPr>
                <w:lang w:val="en-GB"/>
              </w:rPr>
              <w:t xml:space="preserve">, </w:t>
            </w:r>
            <w:proofErr w:type="spellStart"/>
            <w:r w:rsidRPr="00960FF5">
              <w:rPr>
                <w:lang w:val="en-GB"/>
              </w:rPr>
              <w:t>teszt</w:t>
            </w:r>
            <w:proofErr w:type="spellEnd"/>
            <w:r w:rsidRPr="00960FF5">
              <w:rPr>
                <w:lang w:val="en-GB"/>
              </w:rPr>
              <w:t xml:space="preserve">, </w:t>
            </w:r>
            <w:proofErr w:type="spellStart"/>
            <w:r w:rsidRPr="00960FF5">
              <w:rPr>
                <w:lang w:val="en-GB"/>
              </w:rPr>
              <w:t>stb</w:t>
            </w:r>
            <w:proofErr w:type="spellEnd"/>
            <w:r w:rsidRPr="00960FF5">
              <w:rPr>
                <w:lang w:val="en-GB"/>
              </w:rPr>
              <w:t xml:space="preserve">.) </w:t>
            </w:r>
            <w:proofErr w:type="spellStart"/>
            <w:r w:rsidRPr="00960FF5">
              <w:rPr>
                <w:lang w:val="en-GB"/>
              </w:rPr>
              <w:t>és</w:t>
            </w:r>
            <w:proofErr w:type="spellEnd"/>
            <w:r w:rsidRPr="00960FF5">
              <w:rPr>
                <w:lang w:val="en-GB"/>
              </w:rPr>
              <w:t xml:space="preserve"> </w:t>
            </w:r>
            <w:proofErr w:type="spellStart"/>
            <w:r w:rsidRPr="00960FF5">
              <w:rPr>
                <w:lang w:val="en-GB"/>
              </w:rPr>
              <w:t>értékelési</w:t>
            </w:r>
            <w:proofErr w:type="spellEnd"/>
            <w:r w:rsidRPr="00960FF5">
              <w:rPr>
                <w:lang w:val="en-GB"/>
              </w:rPr>
              <w:t xml:space="preserve"> </w:t>
            </w:r>
            <w:proofErr w:type="spellStart"/>
            <w:r w:rsidRPr="00960FF5">
              <w:rPr>
                <w:lang w:val="en-GB"/>
              </w:rPr>
              <w:t>módszere</w:t>
            </w:r>
            <w:proofErr w:type="spellEnd"/>
            <w:r w:rsidRPr="00960FF5">
              <w:rPr>
                <w:lang w:val="en-GB"/>
              </w:rPr>
              <w:t>:</w:t>
            </w:r>
          </w:p>
        </w:tc>
      </w:tr>
      <w:tr w:rsidR="00043992" w:rsidRPr="00960FF5" w14:paraId="6265BAA8" w14:textId="77777777" w:rsidTr="002C01F1">
        <w:trPr>
          <w:cantSplit/>
          <w:trHeight w:val="402"/>
          <w:jc w:val="center"/>
        </w:trPr>
        <w:tc>
          <w:tcPr>
            <w:tcW w:w="10547" w:type="dxa"/>
            <w:gridSpan w:val="4"/>
            <w:vAlign w:val="center"/>
          </w:tcPr>
          <w:p w14:paraId="02B4852D" w14:textId="3EED3249" w:rsidR="00933AE6" w:rsidRPr="00960FF5" w:rsidRDefault="00043992" w:rsidP="00933AE6">
            <w:pPr>
              <w:pStyle w:val="Lers"/>
              <w:rPr>
                <w:lang w:val="en-GB"/>
              </w:rPr>
            </w:pPr>
            <w:r w:rsidRPr="00960FF5">
              <w:rPr>
                <w:rStyle w:val="Finomkiemels"/>
                <w:sz w:val="18"/>
                <w:szCs w:val="18"/>
                <w:lang w:val="en-GB"/>
              </w:rPr>
              <w:t>The examination method (written, to be administered) and evaluation method: a study to be administered and performed in 20 minutes. During the written exam, the students must answer t</w:t>
            </w:r>
            <w:r w:rsidR="005E5AED" w:rsidRPr="00960FF5">
              <w:rPr>
                <w:rStyle w:val="Finomkiemels"/>
                <w:sz w:val="18"/>
                <w:szCs w:val="18"/>
                <w:lang w:val="en-GB"/>
              </w:rPr>
              <w:t>hree</w:t>
            </w:r>
            <w:r w:rsidRPr="00960FF5">
              <w:rPr>
                <w:rStyle w:val="Finomkiemels"/>
                <w:sz w:val="18"/>
                <w:szCs w:val="18"/>
                <w:lang w:val="en-GB"/>
              </w:rPr>
              <w:t xml:space="preserve"> or t</w:t>
            </w:r>
            <w:r w:rsidR="005E5AED" w:rsidRPr="00960FF5">
              <w:rPr>
                <w:rStyle w:val="Finomkiemels"/>
                <w:sz w:val="18"/>
                <w:szCs w:val="18"/>
                <w:lang w:val="en-GB"/>
              </w:rPr>
              <w:t xml:space="preserve">hree </w:t>
            </w:r>
            <w:r w:rsidRPr="00960FF5">
              <w:rPr>
                <w:rStyle w:val="Finomkiemels"/>
                <w:sz w:val="18"/>
                <w:szCs w:val="18"/>
                <w:lang w:val="en-GB"/>
              </w:rPr>
              <w:t>explicit questions. The questions will be made from the curricula marked in the table of contents of the university note. For the case study to be administered, a maximum of 10-page material should be compiled, the subject of which is related to an environmental investment, which may be for any economic branch, extractive industry, processing industry, energy sector, agriculture, transport, tourism, services, innovation developments. The subject may be linked to projects of priority or international relations at national level, for an EU-supported investment. There may be a theme related to the UN specialized organizations' decisions (world, international currency base, UNCTAD, WHO, ILO). The highlighted aspects are environmental protection and the hedges. The subject to be administered may be the work of the student's possible degree or scientific student conference work. Parallelism is possible. Structure to be administered Party: Summary and 5-10 keywords; Half page Introduction, half page methodological description, a page call list, references to the text are also indicated; half side of the summary experiences. In 6 or 7 pages, the circumstances, costs, purpose, essential and operational mechanism, usefulness and results of the investment are to be explained. The study must be administered in word as a presentation as a student of 12 to 15 slides in 20-20 minutes. The recommended literature is to assist in the preparation of work and further work.</w:t>
            </w:r>
          </w:p>
        </w:tc>
      </w:tr>
      <w:tr w:rsidR="00043992" w:rsidRPr="00960FF5" w14:paraId="3F024C76" w14:textId="77777777" w:rsidTr="007B6624">
        <w:trPr>
          <w:cantSplit/>
          <w:trHeight w:val="255"/>
          <w:jc w:val="center"/>
        </w:trPr>
        <w:tc>
          <w:tcPr>
            <w:tcW w:w="10547" w:type="dxa"/>
            <w:gridSpan w:val="4"/>
            <w:shd w:val="clear" w:color="auto" w:fill="C0C0C0"/>
          </w:tcPr>
          <w:p w14:paraId="73B6986C" w14:textId="77777777" w:rsidR="00043992" w:rsidRPr="00960FF5" w:rsidRDefault="00043992" w:rsidP="00043992">
            <w:pPr>
              <w:pStyle w:val="Cmsor1"/>
              <w:rPr>
                <w:b/>
                <w:bCs/>
                <w:lang w:val="en-GB"/>
              </w:rPr>
            </w:pPr>
            <w:proofErr w:type="spellStart"/>
            <w:r w:rsidRPr="00960FF5">
              <w:rPr>
                <w:b/>
                <w:bCs/>
                <w:lang w:val="en-GB"/>
              </w:rPr>
              <w:lastRenderedPageBreak/>
              <w:t>Irodalom</w:t>
            </w:r>
            <w:proofErr w:type="spellEnd"/>
          </w:p>
        </w:tc>
      </w:tr>
      <w:tr w:rsidR="00043992" w:rsidRPr="00960FF5" w14:paraId="6006447F" w14:textId="77777777" w:rsidTr="007B6624">
        <w:trPr>
          <w:cantSplit/>
          <w:trHeight w:val="320"/>
          <w:jc w:val="center"/>
        </w:trPr>
        <w:tc>
          <w:tcPr>
            <w:tcW w:w="1984" w:type="dxa"/>
            <w:gridSpan w:val="3"/>
            <w:shd w:val="clear" w:color="auto" w:fill="C0C0C0"/>
            <w:vAlign w:val="center"/>
          </w:tcPr>
          <w:p w14:paraId="563C33FE" w14:textId="77777777" w:rsidR="00043992" w:rsidRPr="00960FF5" w:rsidRDefault="00043992" w:rsidP="00043992">
            <w:pPr>
              <w:pStyle w:val="Cmsor2"/>
              <w:jc w:val="right"/>
              <w:rPr>
                <w:lang w:val="en-GB"/>
              </w:rPr>
            </w:pPr>
            <w:proofErr w:type="spellStart"/>
            <w:r w:rsidRPr="00960FF5">
              <w:rPr>
                <w:lang w:val="en-GB"/>
              </w:rPr>
              <w:t>Kötelező</w:t>
            </w:r>
            <w:proofErr w:type="spellEnd"/>
            <w:r w:rsidRPr="00960FF5">
              <w:rPr>
                <w:lang w:val="en-GB"/>
              </w:rPr>
              <w:t xml:space="preserve">: </w:t>
            </w:r>
          </w:p>
        </w:tc>
        <w:tc>
          <w:tcPr>
            <w:tcW w:w="8563" w:type="dxa"/>
          </w:tcPr>
          <w:p w14:paraId="5EA36B0B" w14:textId="77777777" w:rsidR="00043992" w:rsidRPr="00960FF5" w:rsidRDefault="00043992" w:rsidP="00043992">
            <w:pPr>
              <w:pStyle w:val="Lers"/>
              <w:rPr>
                <w:bCs/>
                <w:lang w:val="en-GB"/>
              </w:rPr>
            </w:pPr>
            <w:proofErr w:type="spellStart"/>
            <w:r w:rsidRPr="00960FF5">
              <w:rPr>
                <w:bCs/>
                <w:lang w:val="en-GB"/>
              </w:rPr>
              <w:t>Előadás</w:t>
            </w:r>
            <w:proofErr w:type="spellEnd"/>
            <w:r w:rsidRPr="00960FF5">
              <w:rPr>
                <w:bCs/>
                <w:lang w:val="en-GB"/>
              </w:rPr>
              <w:t xml:space="preserve"> </w:t>
            </w:r>
            <w:proofErr w:type="spellStart"/>
            <w:r w:rsidRPr="00960FF5">
              <w:rPr>
                <w:bCs/>
                <w:lang w:val="en-GB"/>
              </w:rPr>
              <w:t>anyagai</w:t>
            </w:r>
            <w:proofErr w:type="spellEnd"/>
            <w:r w:rsidRPr="00960FF5">
              <w:rPr>
                <w:bCs/>
                <w:lang w:val="en-GB"/>
              </w:rPr>
              <w:t xml:space="preserve"> (Moodle </w:t>
            </w:r>
            <w:proofErr w:type="spellStart"/>
            <w:r w:rsidRPr="00960FF5">
              <w:rPr>
                <w:bCs/>
                <w:lang w:val="en-GB"/>
              </w:rPr>
              <w:t>rendszer</w:t>
            </w:r>
            <w:proofErr w:type="spellEnd"/>
            <w:r w:rsidRPr="00960FF5">
              <w:rPr>
                <w:bCs/>
                <w:lang w:val="en-GB"/>
              </w:rPr>
              <w:t>).</w:t>
            </w:r>
          </w:p>
          <w:p w14:paraId="0FE2D0BC" w14:textId="20214501" w:rsidR="00043992" w:rsidRPr="00960FF5" w:rsidRDefault="005E5AED" w:rsidP="00043992">
            <w:pPr>
              <w:widowControl/>
              <w:numPr>
                <w:ilvl w:val="0"/>
                <w:numId w:val="3"/>
              </w:numPr>
              <w:adjustRightInd w:val="0"/>
              <w:spacing w:before="0" w:after="0"/>
              <w:ind w:left="357" w:hanging="357"/>
              <w:jc w:val="both"/>
              <w:rPr>
                <w:lang w:val="en-GB"/>
              </w:rPr>
            </w:pPr>
            <w:r w:rsidRPr="00960FF5">
              <w:rPr>
                <w:b w:val="0"/>
                <w:bCs w:val="0"/>
                <w:sz w:val="18"/>
                <w:szCs w:val="18"/>
                <w:lang w:val="en-GB"/>
              </w:rPr>
              <w:t>Zsarnóczai, Sándor</w:t>
            </w:r>
            <w:r w:rsidR="00CB7E6E" w:rsidRPr="00960FF5">
              <w:rPr>
                <w:b w:val="0"/>
                <w:bCs w:val="0"/>
                <w:sz w:val="18"/>
                <w:szCs w:val="18"/>
                <w:lang w:val="en-GB"/>
              </w:rPr>
              <w:t xml:space="preserve"> </w:t>
            </w:r>
            <w:r w:rsidRPr="00960FF5">
              <w:rPr>
                <w:b w:val="0"/>
                <w:bCs w:val="0"/>
                <w:sz w:val="18"/>
                <w:szCs w:val="18"/>
                <w:lang w:val="en-GB"/>
              </w:rPr>
              <w:t>(edited by, 202</w:t>
            </w:r>
            <w:r w:rsidR="00CB7E6E" w:rsidRPr="00960FF5">
              <w:rPr>
                <w:b w:val="0"/>
                <w:bCs w:val="0"/>
                <w:sz w:val="18"/>
                <w:szCs w:val="18"/>
                <w:lang w:val="en-GB"/>
              </w:rPr>
              <w:t>5</w:t>
            </w:r>
            <w:r w:rsidRPr="00960FF5">
              <w:rPr>
                <w:b w:val="0"/>
                <w:bCs w:val="0"/>
                <w:sz w:val="18"/>
                <w:szCs w:val="18"/>
                <w:lang w:val="en-GB"/>
              </w:rPr>
              <w:t xml:space="preserve">): </w:t>
            </w:r>
            <w:r w:rsidR="00CB7E6E" w:rsidRPr="00960FF5">
              <w:rPr>
                <w:b w:val="0"/>
                <w:bCs w:val="0"/>
                <w:sz w:val="18"/>
                <w:szCs w:val="18"/>
                <w:lang w:val="en-GB"/>
              </w:rPr>
              <w:t xml:space="preserve">First </w:t>
            </w:r>
            <w:proofErr w:type="spellStart"/>
            <w:r w:rsidR="00CB7E6E" w:rsidRPr="00960FF5">
              <w:rPr>
                <w:b w:val="0"/>
                <w:bCs w:val="0"/>
                <w:sz w:val="18"/>
                <w:szCs w:val="18"/>
                <w:lang w:val="en-GB"/>
              </w:rPr>
              <w:t>Notbook</w:t>
            </w:r>
            <w:proofErr w:type="spellEnd"/>
            <w:r w:rsidR="00CB7E6E" w:rsidRPr="00960FF5">
              <w:rPr>
                <w:b w:val="0"/>
                <w:bCs w:val="0"/>
                <w:sz w:val="18"/>
                <w:szCs w:val="18"/>
                <w:lang w:val="en-GB"/>
              </w:rPr>
              <w:t>. Environmental Management and Impact Assessment_2025_RKXKH1EBNF</w:t>
            </w:r>
            <w:r w:rsidRPr="00960FF5">
              <w:rPr>
                <w:b w:val="0"/>
                <w:bCs w:val="0"/>
                <w:sz w:val="18"/>
                <w:szCs w:val="18"/>
                <w:lang w:val="en-GB"/>
              </w:rPr>
              <w:t>. ÓBUDA University, Rejtő Sándor Faculty of Light Industrial and Environmental Engineering, Environmental Engineering Institute</w:t>
            </w:r>
          </w:p>
          <w:p w14:paraId="1E02BC39" w14:textId="37610B35" w:rsidR="00CB7E6E" w:rsidRPr="00960FF5" w:rsidRDefault="00CB7E6E" w:rsidP="00CB7E6E">
            <w:pPr>
              <w:widowControl/>
              <w:numPr>
                <w:ilvl w:val="0"/>
                <w:numId w:val="3"/>
              </w:numPr>
              <w:adjustRightInd w:val="0"/>
              <w:spacing w:before="0" w:after="0"/>
              <w:ind w:left="357" w:hanging="357"/>
              <w:jc w:val="both"/>
              <w:rPr>
                <w:lang w:val="en-GB"/>
              </w:rPr>
            </w:pPr>
            <w:r w:rsidRPr="00960FF5">
              <w:rPr>
                <w:b w:val="0"/>
                <w:bCs w:val="0"/>
                <w:sz w:val="18"/>
                <w:szCs w:val="18"/>
                <w:lang w:val="en-GB"/>
              </w:rPr>
              <w:t xml:space="preserve">Zsarnóczai, Sándor (edited by, 2025): Second </w:t>
            </w:r>
            <w:proofErr w:type="spellStart"/>
            <w:r w:rsidRPr="00960FF5">
              <w:rPr>
                <w:b w:val="0"/>
                <w:bCs w:val="0"/>
                <w:sz w:val="18"/>
                <w:szCs w:val="18"/>
                <w:lang w:val="en-GB"/>
              </w:rPr>
              <w:t>Notbook</w:t>
            </w:r>
            <w:proofErr w:type="spellEnd"/>
            <w:r w:rsidRPr="00960FF5">
              <w:rPr>
                <w:b w:val="0"/>
                <w:bCs w:val="0"/>
                <w:sz w:val="18"/>
                <w:szCs w:val="18"/>
                <w:lang w:val="en-GB"/>
              </w:rPr>
              <w:t xml:space="preserve">. </w:t>
            </w:r>
            <w:r w:rsidRPr="00960FF5">
              <w:rPr>
                <w:sz w:val="18"/>
                <w:szCs w:val="18"/>
                <w:u w:val="single"/>
                <w:lang w:val="en-GB"/>
              </w:rPr>
              <w:t>SIGNED CHAPTERS</w:t>
            </w:r>
            <w:r w:rsidRPr="00960FF5">
              <w:rPr>
                <w:b w:val="0"/>
                <w:bCs w:val="0"/>
                <w:sz w:val="18"/>
                <w:szCs w:val="18"/>
                <w:lang w:val="en-GB"/>
              </w:rPr>
              <w:t>, Environmental Management and Impact Assessment_2025_RKXKH1EBNF. ÓBUDA University, Rejtő Sándor Faculty of Light Industrial and Environmental Engineering, Environmental Engineering Institute</w:t>
            </w:r>
          </w:p>
          <w:p w14:paraId="3E4E61AF" w14:textId="11B6DD11" w:rsidR="003B2DC1" w:rsidRPr="00960FF5" w:rsidRDefault="001A354F" w:rsidP="00043992">
            <w:pPr>
              <w:widowControl/>
              <w:numPr>
                <w:ilvl w:val="0"/>
                <w:numId w:val="3"/>
              </w:numPr>
              <w:adjustRightInd w:val="0"/>
              <w:spacing w:before="0" w:after="0"/>
              <w:ind w:left="357" w:hanging="357"/>
              <w:jc w:val="both"/>
              <w:rPr>
                <w:b w:val="0"/>
                <w:bCs w:val="0"/>
                <w:sz w:val="18"/>
                <w:szCs w:val="18"/>
                <w:lang w:val="en-GB"/>
              </w:rPr>
            </w:pPr>
            <w:r w:rsidRPr="00960FF5">
              <w:rPr>
                <w:b w:val="0"/>
                <w:bCs w:val="0"/>
                <w:sz w:val="18"/>
                <w:szCs w:val="18"/>
                <w:lang w:val="en-GB"/>
              </w:rPr>
              <w:t xml:space="preserve">Environmental Literacy Council (2007): Environmental </w:t>
            </w:r>
            <w:proofErr w:type="spellStart"/>
            <w:r w:rsidRPr="00960FF5">
              <w:rPr>
                <w:b w:val="0"/>
                <w:bCs w:val="0"/>
                <w:sz w:val="18"/>
                <w:szCs w:val="18"/>
                <w:lang w:val="en-GB"/>
              </w:rPr>
              <w:t>Economics.Volume</w:t>
            </w:r>
            <w:proofErr w:type="spellEnd"/>
            <w:r w:rsidRPr="00960FF5">
              <w:rPr>
                <w:b w:val="0"/>
                <w:bCs w:val="0"/>
                <w:sz w:val="18"/>
                <w:szCs w:val="18"/>
                <w:lang w:val="en-GB"/>
              </w:rPr>
              <w:t xml:space="preserve"> 1 Essential. Washington DC, US. P. 43.</w:t>
            </w:r>
          </w:p>
        </w:tc>
      </w:tr>
      <w:tr w:rsidR="00043992" w:rsidRPr="00960FF5" w14:paraId="5D5A64AA" w14:textId="77777777" w:rsidTr="007B6624">
        <w:trPr>
          <w:cantSplit/>
          <w:trHeight w:val="320"/>
          <w:jc w:val="center"/>
        </w:trPr>
        <w:tc>
          <w:tcPr>
            <w:tcW w:w="1984" w:type="dxa"/>
            <w:gridSpan w:val="3"/>
            <w:shd w:val="clear" w:color="auto" w:fill="C0C0C0"/>
            <w:vAlign w:val="center"/>
          </w:tcPr>
          <w:p w14:paraId="6B7EB8BD" w14:textId="77777777" w:rsidR="00043992" w:rsidRPr="00960FF5" w:rsidRDefault="00043992" w:rsidP="00043992">
            <w:pPr>
              <w:pStyle w:val="Cmsor2"/>
              <w:jc w:val="right"/>
              <w:rPr>
                <w:lang w:val="en-GB"/>
              </w:rPr>
            </w:pPr>
            <w:proofErr w:type="spellStart"/>
            <w:r w:rsidRPr="00960FF5">
              <w:rPr>
                <w:lang w:val="en-GB"/>
              </w:rPr>
              <w:t>Ajánlott</w:t>
            </w:r>
            <w:proofErr w:type="spellEnd"/>
            <w:r w:rsidRPr="00960FF5">
              <w:rPr>
                <w:lang w:val="en-GB"/>
              </w:rPr>
              <w:t>:</w:t>
            </w:r>
          </w:p>
        </w:tc>
        <w:tc>
          <w:tcPr>
            <w:tcW w:w="8563" w:type="dxa"/>
          </w:tcPr>
          <w:p w14:paraId="619B43BA" w14:textId="77777777" w:rsidR="00043992" w:rsidRPr="00960FF5" w:rsidRDefault="00043992" w:rsidP="005E5AED">
            <w:pPr>
              <w:widowControl/>
              <w:numPr>
                <w:ilvl w:val="0"/>
                <w:numId w:val="4"/>
              </w:numPr>
              <w:adjustRightInd w:val="0"/>
              <w:spacing w:before="0" w:after="0"/>
              <w:rPr>
                <w:b w:val="0"/>
                <w:bCs w:val="0"/>
                <w:highlight w:val="yellow"/>
                <w:lang w:val="en-GB"/>
              </w:rPr>
            </w:pPr>
            <w:r w:rsidRPr="00960FF5">
              <w:rPr>
                <w:b w:val="0"/>
                <w:bCs w:val="0"/>
                <w:sz w:val="18"/>
                <w:szCs w:val="18"/>
                <w:lang w:val="en-GB"/>
              </w:rPr>
              <w:t>Zsarnóczai, J. Sándor and Editing Board (edited by, 2010): Economics of Sustainable Agriculture (</w:t>
            </w:r>
            <w:proofErr w:type="spellStart"/>
            <w:r w:rsidRPr="00960FF5">
              <w:rPr>
                <w:b w:val="0"/>
                <w:bCs w:val="0"/>
                <w:sz w:val="18"/>
                <w:szCs w:val="18"/>
                <w:lang w:val="en-GB"/>
              </w:rPr>
              <w:t>Fenntartható</w:t>
            </w:r>
            <w:proofErr w:type="spellEnd"/>
            <w:r w:rsidRPr="00960FF5">
              <w:rPr>
                <w:b w:val="0"/>
                <w:bCs w:val="0"/>
                <w:sz w:val="18"/>
                <w:szCs w:val="18"/>
                <w:lang w:val="en-GB"/>
              </w:rPr>
              <w:t xml:space="preserve"> </w:t>
            </w:r>
            <w:proofErr w:type="spellStart"/>
            <w:r w:rsidRPr="00960FF5">
              <w:rPr>
                <w:b w:val="0"/>
                <w:bCs w:val="0"/>
                <w:sz w:val="18"/>
                <w:szCs w:val="18"/>
                <w:lang w:val="en-GB"/>
              </w:rPr>
              <w:t>mezőgazdaság</w:t>
            </w:r>
            <w:proofErr w:type="spellEnd"/>
            <w:r w:rsidRPr="00960FF5">
              <w:rPr>
                <w:b w:val="0"/>
                <w:bCs w:val="0"/>
                <w:sz w:val="18"/>
                <w:szCs w:val="18"/>
                <w:lang w:val="en-GB"/>
              </w:rPr>
              <w:t xml:space="preserve"> </w:t>
            </w:r>
            <w:proofErr w:type="spellStart"/>
            <w:r w:rsidRPr="00960FF5">
              <w:rPr>
                <w:b w:val="0"/>
                <w:bCs w:val="0"/>
                <w:sz w:val="18"/>
                <w:szCs w:val="18"/>
                <w:lang w:val="en-GB"/>
              </w:rPr>
              <w:t>közgazdaságtana</w:t>
            </w:r>
            <w:proofErr w:type="spellEnd"/>
            <w:r w:rsidRPr="00960FF5">
              <w:rPr>
                <w:b w:val="0"/>
                <w:bCs w:val="0"/>
                <w:sz w:val="18"/>
                <w:szCs w:val="18"/>
                <w:lang w:val="en-GB"/>
              </w:rPr>
              <w:t xml:space="preserve">) </w:t>
            </w:r>
            <w:proofErr w:type="spellStart"/>
            <w:r w:rsidRPr="00960FF5">
              <w:rPr>
                <w:b w:val="0"/>
                <w:bCs w:val="0"/>
                <w:sz w:val="18"/>
                <w:szCs w:val="18"/>
                <w:lang w:val="en-GB"/>
              </w:rPr>
              <w:t>Gödöllő</w:t>
            </w:r>
            <w:proofErr w:type="spellEnd"/>
            <w:r w:rsidRPr="00960FF5">
              <w:rPr>
                <w:b w:val="0"/>
                <w:bCs w:val="0"/>
                <w:sz w:val="18"/>
                <w:szCs w:val="18"/>
                <w:lang w:val="en-GB"/>
              </w:rPr>
              <w:t>, p. 151, ISBN 978 963 269 145 9</w:t>
            </w:r>
          </w:p>
          <w:p w14:paraId="0B6501FD" w14:textId="77777777" w:rsidR="001A354F" w:rsidRPr="00960FF5" w:rsidRDefault="005E5AED" w:rsidP="001A354F">
            <w:pPr>
              <w:widowControl/>
              <w:numPr>
                <w:ilvl w:val="0"/>
                <w:numId w:val="4"/>
              </w:numPr>
              <w:adjustRightInd w:val="0"/>
              <w:spacing w:before="0" w:after="0"/>
              <w:rPr>
                <w:b w:val="0"/>
                <w:bCs w:val="0"/>
                <w:highlight w:val="yellow"/>
                <w:lang w:val="en-GB"/>
              </w:rPr>
            </w:pPr>
            <w:r w:rsidRPr="00960FF5">
              <w:rPr>
                <w:b w:val="0"/>
                <w:bCs w:val="0"/>
                <w:sz w:val="18"/>
                <w:szCs w:val="18"/>
                <w:lang w:val="en-GB"/>
              </w:rPr>
              <w:t xml:space="preserve">Zsarnóczai, J. </w:t>
            </w:r>
            <w:proofErr w:type="gramStart"/>
            <w:r w:rsidRPr="00960FF5">
              <w:rPr>
                <w:b w:val="0"/>
                <w:bCs w:val="0"/>
                <w:sz w:val="18"/>
                <w:szCs w:val="18"/>
                <w:lang w:val="en-GB"/>
              </w:rPr>
              <w:t>Sándor(</w:t>
            </w:r>
            <w:proofErr w:type="gramEnd"/>
            <w:r w:rsidRPr="00960FF5">
              <w:rPr>
                <w:b w:val="0"/>
                <w:bCs w:val="0"/>
                <w:sz w:val="18"/>
                <w:szCs w:val="18"/>
                <w:lang w:val="en-GB"/>
              </w:rPr>
              <w:t>edited by, 2021): ENVIRONMENTAL MANAGEMENT. Notebook. ÓBUDA University, Rejtő Sándor Faculty of Light Industrial and Environmental Engineering, Environmental Engineering Institute</w:t>
            </w:r>
            <w:r w:rsidR="001A354F" w:rsidRPr="00960FF5">
              <w:rPr>
                <w:b w:val="0"/>
                <w:bCs w:val="0"/>
                <w:sz w:val="18"/>
                <w:szCs w:val="18"/>
                <w:lang w:val="en-GB"/>
              </w:rPr>
              <w:t xml:space="preserve"> </w:t>
            </w:r>
          </w:p>
          <w:p w14:paraId="7E6B5FD0" w14:textId="45254515" w:rsidR="005E5AED" w:rsidRPr="00960FF5" w:rsidRDefault="001A354F" w:rsidP="005E5AED">
            <w:pPr>
              <w:widowControl/>
              <w:numPr>
                <w:ilvl w:val="0"/>
                <w:numId w:val="4"/>
              </w:numPr>
              <w:adjustRightInd w:val="0"/>
              <w:spacing w:before="0" w:after="0"/>
              <w:jc w:val="both"/>
              <w:rPr>
                <w:b w:val="0"/>
                <w:bCs w:val="0"/>
                <w:lang w:val="en-GB"/>
              </w:rPr>
            </w:pPr>
            <w:r w:rsidRPr="00960FF5">
              <w:rPr>
                <w:b w:val="0"/>
                <w:bCs w:val="0"/>
                <w:sz w:val="18"/>
                <w:szCs w:val="18"/>
                <w:lang w:val="en-GB"/>
              </w:rPr>
              <w:t>Federica Cimato and Michael Mullan (2010): Adapting to Climate Change: Analysing the Role of Government, Paper 1, UK, January 2010, DEFRA (Development for Environment Food and Rural Affairs)</w:t>
            </w:r>
            <w:r w:rsidR="005E5AED" w:rsidRPr="00960FF5">
              <w:rPr>
                <w:b w:val="0"/>
                <w:bCs w:val="0"/>
                <w:sz w:val="18"/>
                <w:szCs w:val="18"/>
                <w:lang w:val="en-GB"/>
              </w:rPr>
              <w:t xml:space="preserve">. </w:t>
            </w:r>
          </w:p>
          <w:p w14:paraId="24369763" w14:textId="7847A59F" w:rsidR="005E5AED" w:rsidRPr="00960FF5" w:rsidRDefault="005E5AED" w:rsidP="005E5AED">
            <w:pPr>
              <w:widowControl/>
              <w:numPr>
                <w:ilvl w:val="0"/>
                <w:numId w:val="4"/>
              </w:numPr>
              <w:adjustRightInd w:val="0"/>
              <w:spacing w:before="0" w:after="0"/>
              <w:rPr>
                <w:b w:val="0"/>
                <w:bCs w:val="0"/>
                <w:highlight w:val="yellow"/>
                <w:lang w:val="en-GB"/>
              </w:rPr>
            </w:pPr>
            <w:r w:rsidRPr="00960FF5">
              <w:rPr>
                <w:b w:val="0"/>
                <w:bCs w:val="0"/>
                <w:sz w:val="18"/>
                <w:szCs w:val="18"/>
                <w:lang w:val="en-GB"/>
              </w:rPr>
              <w:t xml:space="preserve">Tim Everett, Mallika Ishwaran, Gian Paolo </w:t>
            </w:r>
            <w:proofErr w:type="spellStart"/>
            <w:r w:rsidRPr="00960FF5">
              <w:rPr>
                <w:b w:val="0"/>
                <w:bCs w:val="0"/>
                <w:sz w:val="18"/>
                <w:szCs w:val="18"/>
                <w:lang w:val="en-GB"/>
              </w:rPr>
              <w:t>Ansaloni</w:t>
            </w:r>
            <w:proofErr w:type="spellEnd"/>
            <w:r w:rsidRPr="00960FF5">
              <w:rPr>
                <w:b w:val="0"/>
                <w:bCs w:val="0"/>
                <w:sz w:val="18"/>
                <w:szCs w:val="18"/>
                <w:lang w:val="en-GB"/>
              </w:rPr>
              <w:t xml:space="preserve"> and Alex Rubin March (2010): Economic Growth and the Environment.  Evidence and Analysis Series Paper 2. DEFRA (Development for Environment Food and Rural Affairs) PB13390, UK, March 2010, p. 52.</w:t>
            </w:r>
            <w:hyperlink r:id="rId8" w:history="1">
              <w:r w:rsidRPr="00960FF5">
                <w:rPr>
                  <w:rStyle w:val="Hiperhivatkozs"/>
                  <w:b w:val="0"/>
                  <w:bCs w:val="0"/>
                  <w:color w:val="auto"/>
                  <w:sz w:val="18"/>
                  <w:szCs w:val="18"/>
                  <w:u w:val="none"/>
                  <w:shd w:val="clear" w:color="auto" w:fill="FFFFFF"/>
                  <w:lang w:val="en-GB"/>
                </w:rPr>
                <w:br/>
                <w:t xml:space="preserve">Economic growth and the environment - GOV.UK, https://assets.publishing.service.gov.uk › </w:t>
              </w:r>
            </w:hyperlink>
            <w:r w:rsidRPr="00960FF5">
              <w:rPr>
                <w:rStyle w:val="zgwo7"/>
                <w:b w:val="0"/>
                <w:bCs w:val="0"/>
                <w:spacing w:val="11"/>
                <w:sz w:val="18"/>
                <w:szCs w:val="18"/>
                <w:bdr w:val="single" w:sz="6" w:space="0" w:color="EBEBEB" w:frame="1"/>
                <w:lang w:val="en-GB"/>
              </w:rPr>
              <w:t>PDF</w:t>
            </w:r>
          </w:p>
        </w:tc>
      </w:tr>
      <w:tr w:rsidR="00043992" w:rsidRPr="00960FF5" w14:paraId="66716A6A" w14:textId="77777777" w:rsidTr="007B6624">
        <w:trPr>
          <w:cantSplit/>
          <w:trHeight w:val="320"/>
          <w:jc w:val="center"/>
        </w:trPr>
        <w:tc>
          <w:tcPr>
            <w:tcW w:w="1984" w:type="dxa"/>
            <w:gridSpan w:val="3"/>
            <w:shd w:val="clear" w:color="auto" w:fill="C0C0C0"/>
            <w:vAlign w:val="center"/>
          </w:tcPr>
          <w:p w14:paraId="6FD4B455" w14:textId="77777777" w:rsidR="00043992" w:rsidRPr="00960FF5" w:rsidRDefault="00043992" w:rsidP="00043992">
            <w:pPr>
              <w:pStyle w:val="Cmsor2"/>
              <w:jc w:val="right"/>
              <w:rPr>
                <w:lang w:val="en-GB"/>
              </w:rPr>
            </w:pPr>
            <w:proofErr w:type="spellStart"/>
            <w:r w:rsidRPr="00960FF5">
              <w:rPr>
                <w:lang w:val="en-GB"/>
              </w:rPr>
              <w:t>Egyéb</w:t>
            </w:r>
            <w:proofErr w:type="spellEnd"/>
            <w:r w:rsidRPr="00960FF5">
              <w:rPr>
                <w:lang w:val="en-GB"/>
              </w:rPr>
              <w:t xml:space="preserve"> </w:t>
            </w:r>
            <w:proofErr w:type="spellStart"/>
            <w:r w:rsidRPr="00960FF5">
              <w:rPr>
                <w:lang w:val="en-GB"/>
              </w:rPr>
              <w:t>segédletek</w:t>
            </w:r>
            <w:proofErr w:type="spellEnd"/>
            <w:r w:rsidRPr="00960FF5">
              <w:rPr>
                <w:lang w:val="en-GB"/>
              </w:rPr>
              <w:t xml:space="preserve">: </w:t>
            </w:r>
          </w:p>
        </w:tc>
        <w:tc>
          <w:tcPr>
            <w:tcW w:w="8563" w:type="dxa"/>
          </w:tcPr>
          <w:p w14:paraId="4E171445" w14:textId="77777777" w:rsidR="00043992" w:rsidRPr="00960FF5" w:rsidRDefault="00043992" w:rsidP="00043992">
            <w:pPr>
              <w:pStyle w:val="Lers"/>
              <w:rPr>
                <w:lang w:val="en-GB"/>
              </w:rPr>
            </w:pPr>
          </w:p>
        </w:tc>
      </w:tr>
      <w:tr w:rsidR="00043992" w:rsidRPr="00960FF5" w14:paraId="7ACEB655" w14:textId="77777777" w:rsidTr="007B6624">
        <w:trPr>
          <w:cantSplit/>
          <w:trHeight w:val="320"/>
          <w:jc w:val="center"/>
        </w:trPr>
        <w:tc>
          <w:tcPr>
            <w:tcW w:w="10547" w:type="dxa"/>
            <w:gridSpan w:val="4"/>
            <w:shd w:val="clear" w:color="auto" w:fill="C0C0C0"/>
            <w:vAlign w:val="center"/>
          </w:tcPr>
          <w:p w14:paraId="280C4C0F" w14:textId="77777777" w:rsidR="00043992" w:rsidRPr="00960FF5" w:rsidRDefault="00043992" w:rsidP="00043992">
            <w:pPr>
              <w:pStyle w:val="Cmsor2"/>
              <w:jc w:val="center"/>
              <w:rPr>
                <w:b/>
                <w:bCs/>
                <w:lang w:val="en-GB"/>
              </w:rPr>
            </w:pPr>
            <w:r w:rsidRPr="00960FF5">
              <w:rPr>
                <w:b/>
                <w:bCs/>
                <w:lang w:val="en-GB"/>
              </w:rPr>
              <w:t xml:space="preserve">A </w:t>
            </w:r>
            <w:proofErr w:type="spellStart"/>
            <w:r w:rsidRPr="00960FF5">
              <w:rPr>
                <w:b/>
                <w:bCs/>
                <w:lang w:val="en-GB"/>
              </w:rPr>
              <w:t>tárgy</w:t>
            </w:r>
            <w:proofErr w:type="spellEnd"/>
            <w:r w:rsidRPr="00960FF5">
              <w:rPr>
                <w:b/>
                <w:bCs/>
                <w:lang w:val="en-GB"/>
              </w:rPr>
              <w:t xml:space="preserve"> </w:t>
            </w:r>
            <w:proofErr w:type="spellStart"/>
            <w:r w:rsidRPr="00960FF5">
              <w:rPr>
                <w:b/>
                <w:bCs/>
                <w:lang w:val="en-GB"/>
              </w:rPr>
              <w:t>minőségbiztosítási</w:t>
            </w:r>
            <w:proofErr w:type="spellEnd"/>
            <w:r w:rsidRPr="00960FF5">
              <w:rPr>
                <w:b/>
                <w:bCs/>
                <w:lang w:val="en-GB"/>
              </w:rPr>
              <w:t xml:space="preserve"> </w:t>
            </w:r>
            <w:proofErr w:type="spellStart"/>
            <w:r w:rsidRPr="00960FF5">
              <w:rPr>
                <w:b/>
                <w:bCs/>
                <w:lang w:val="en-GB"/>
              </w:rPr>
              <w:t>módszerei</w:t>
            </w:r>
            <w:proofErr w:type="spellEnd"/>
            <w:r w:rsidRPr="00960FF5">
              <w:rPr>
                <w:b/>
                <w:bCs/>
                <w:lang w:val="en-GB"/>
              </w:rPr>
              <w:t>:</w:t>
            </w:r>
          </w:p>
        </w:tc>
      </w:tr>
      <w:tr w:rsidR="00043992" w:rsidRPr="00960FF5" w14:paraId="1A085073" w14:textId="77777777" w:rsidTr="007B6624">
        <w:trPr>
          <w:cantSplit/>
          <w:trHeight w:val="790"/>
          <w:jc w:val="center"/>
        </w:trPr>
        <w:tc>
          <w:tcPr>
            <w:tcW w:w="10547" w:type="dxa"/>
            <w:gridSpan w:val="4"/>
            <w:tcBorders>
              <w:bottom w:val="single" w:sz="12" w:space="0" w:color="auto"/>
            </w:tcBorders>
            <w:vAlign w:val="center"/>
          </w:tcPr>
          <w:p w14:paraId="070A5648" w14:textId="42D11C46" w:rsidR="0066068F" w:rsidRPr="00960FF5" w:rsidRDefault="0066068F" w:rsidP="00933AE6">
            <w:pPr>
              <w:pStyle w:val="Nincstrkz"/>
              <w:jc w:val="both"/>
              <w:rPr>
                <w:rStyle w:val="Kiemels2"/>
                <w:sz w:val="18"/>
                <w:szCs w:val="18"/>
                <w:lang w:val="en-GB"/>
              </w:rPr>
            </w:pPr>
            <w:r w:rsidRPr="00960FF5">
              <w:rPr>
                <w:rStyle w:val="Kiemels2"/>
                <w:sz w:val="18"/>
                <w:szCs w:val="18"/>
                <w:lang w:val="en-GB"/>
              </w:rPr>
              <w:t>As a yearly, an educational review is carried out per year, in which we take into account the effectiveness of knowledge transfer and information from the evaluation of the opinions given by the students and graduates. On the basis of the evaluation, the development promotions can be started, whose areas - the methodology of knowledge transfer, - the contents of the curriculum, - lectures and practices were built on each other. We perform a yearly evaluation of the changes and their results; we make a note about this and the proven items are scheduled by the professional program to be part of the subject program.</w:t>
            </w:r>
          </w:p>
          <w:p w14:paraId="612C1CB2" w14:textId="77777777" w:rsidR="00043992" w:rsidRPr="00960FF5" w:rsidRDefault="00043992" w:rsidP="00933AE6">
            <w:pPr>
              <w:pStyle w:val="Lers"/>
              <w:spacing w:before="0" w:after="0"/>
              <w:rPr>
                <w:b/>
                <w:bCs/>
                <w:sz w:val="18"/>
                <w:szCs w:val="18"/>
                <w:lang w:val="en-GB"/>
              </w:rPr>
            </w:pPr>
            <w:r w:rsidRPr="00960FF5">
              <w:rPr>
                <w:b/>
                <w:bCs/>
                <w:sz w:val="18"/>
                <w:szCs w:val="18"/>
                <w:lang w:val="en-GB"/>
              </w:rPr>
              <w:t xml:space="preserve">The other materials of the subject: </w:t>
            </w:r>
          </w:p>
          <w:p w14:paraId="598E4EF9" w14:textId="6646E6D4" w:rsidR="007078AD" w:rsidRPr="00960FF5" w:rsidRDefault="007078AD" w:rsidP="00933AE6">
            <w:pPr>
              <w:adjustRightInd w:val="0"/>
              <w:spacing w:before="0" w:after="0"/>
              <w:jc w:val="both"/>
              <w:rPr>
                <w:b w:val="0"/>
                <w:bCs w:val="0"/>
                <w:sz w:val="18"/>
                <w:szCs w:val="18"/>
                <w:lang w:val="en-GB"/>
              </w:rPr>
            </w:pPr>
            <w:r w:rsidRPr="00960FF5">
              <w:rPr>
                <w:b w:val="0"/>
                <w:bCs w:val="0"/>
                <w:sz w:val="18"/>
                <w:szCs w:val="18"/>
                <w:lang w:val="en-GB"/>
              </w:rPr>
              <w:t xml:space="preserve">Meanwhile, waste </w:t>
            </w:r>
            <w:r w:rsidRPr="00960FF5">
              <w:rPr>
                <w:b w:val="0"/>
                <w:bCs w:val="0"/>
                <w:i/>
                <w:iCs/>
                <w:sz w:val="18"/>
                <w:szCs w:val="18"/>
                <w:lang w:val="en-GB"/>
              </w:rPr>
              <w:t xml:space="preserve">management </w:t>
            </w:r>
            <w:r w:rsidRPr="00960FF5">
              <w:rPr>
                <w:b w:val="0"/>
                <w:bCs w:val="0"/>
                <w:sz w:val="18"/>
                <w:szCs w:val="18"/>
                <w:lang w:val="en-GB"/>
              </w:rPr>
              <w:t>has improved in almost all EU Member States, as more waste is being recycled and less land-filled. Nevertheless, still about half of the 3 billion tonnes of total waste generated in the EU-27 in 2006 was land-filled. The rest was recovered, recycled and reused, or incinerated. Good waste management reduces environmental impacts and offers economic opportunities. It has been estimated that roughly 0.75 % of EU GDP corresponds to waste management and recycling. The recycling sector has an estimated turnover of EUR 24 billion and employs about half a million persons. Thus, the EU has around 30 % of world share of eco-industries and 50 % of the waste and recycling industries.</w:t>
            </w:r>
          </w:p>
          <w:p w14:paraId="49124A9A" w14:textId="67DB9764" w:rsidR="007078AD" w:rsidRPr="00960FF5" w:rsidRDefault="00570EC3" w:rsidP="00933AE6">
            <w:pPr>
              <w:adjustRightInd w:val="0"/>
              <w:spacing w:before="0" w:after="0"/>
              <w:jc w:val="both"/>
              <w:rPr>
                <w:b w:val="0"/>
                <w:bCs w:val="0"/>
                <w:sz w:val="18"/>
                <w:szCs w:val="18"/>
                <w:lang w:val="en-GB"/>
              </w:rPr>
            </w:pPr>
            <w:r w:rsidRPr="00960FF5">
              <w:rPr>
                <w:b w:val="0"/>
                <w:bCs w:val="0"/>
                <w:sz w:val="18"/>
                <w:szCs w:val="18"/>
                <w:lang w:val="en-GB"/>
              </w:rPr>
              <w:t>European waste management builds on the principles of a waste hierarchy: preventing waste; reusing products; recycling; recovering, including energy through incineration; and finally, disposal. Waste prevention can help reduce environmental impacts during all stages of the life-cycle of resources.</w:t>
            </w:r>
          </w:p>
          <w:p w14:paraId="6E4BBF07" w14:textId="1BCD2CD5" w:rsidR="00275BB2" w:rsidRPr="00960FF5" w:rsidRDefault="00275BB2" w:rsidP="00933AE6">
            <w:pPr>
              <w:adjustRightInd w:val="0"/>
              <w:spacing w:before="0" w:after="0"/>
              <w:jc w:val="both"/>
              <w:rPr>
                <w:b w:val="0"/>
                <w:bCs w:val="0"/>
                <w:sz w:val="18"/>
                <w:szCs w:val="18"/>
                <w:lang w:val="en-GB"/>
              </w:rPr>
            </w:pPr>
            <w:r w:rsidRPr="00960FF5">
              <w:rPr>
                <w:b w:val="0"/>
                <w:bCs w:val="0"/>
                <w:sz w:val="18"/>
                <w:szCs w:val="18"/>
                <w:lang w:val="en-GB"/>
              </w:rPr>
              <w:t>Domestic material consumption (DMC) is often used as a proxy for the environmental pressures of resource use. DMC measures resources directly consumed within a national economy, with an understanding that eventually each tonne of material entering an economy will come out as waste or emissions.</w:t>
            </w:r>
          </w:p>
          <w:p w14:paraId="293DA19A" w14:textId="7FF1553D" w:rsidR="00275BB2" w:rsidRPr="00960FF5" w:rsidRDefault="00275BB2" w:rsidP="00933AE6">
            <w:pPr>
              <w:adjustRightInd w:val="0"/>
              <w:spacing w:before="0" w:after="0"/>
              <w:jc w:val="both"/>
              <w:rPr>
                <w:b w:val="0"/>
                <w:bCs w:val="0"/>
                <w:sz w:val="18"/>
                <w:szCs w:val="18"/>
                <w:lang w:val="en-GB"/>
              </w:rPr>
            </w:pPr>
            <w:r w:rsidRPr="00960FF5">
              <w:rPr>
                <w:b w:val="0"/>
                <w:bCs w:val="0"/>
                <w:sz w:val="18"/>
                <w:szCs w:val="18"/>
                <w:lang w:val="en-GB"/>
              </w:rPr>
              <w:t xml:space="preserve">The </w:t>
            </w:r>
            <w:r w:rsidRPr="00960FF5">
              <w:rPr>
                <w:b w:val="0"/>
                <w:bCs w:val="0"/>
                <w:i/>
                <w:sz w:val="18"/>
                <w:szCs w:val="18"/>
                <w:lang w:val="en-GB"/>
              </w:rPr>
              <w:t>environmentally-weighted material consumption (EMC)</w:t>
            </w:r>
            <w:r w:rsidRPr="00960FF5">
              <w:rPr>
                <w:b w:val="0"/>
                <w:bCs w:val="0"/>
                <w:sz w:val="18"/>
                <w:szCs w:val="18"/>
                <w:lang w:val="en-GB"/>
              </w:rPr>
              <w:t xml:space="preserve"> indicator attempts to combine information on material flows with information on environmental pressures for specific categories including a-biotic resource depletion, land use, global warming, ozone layer depletion, human toxicity, terrestrial ecotoxicity, aquatic ecotoxicity, photochemical smog formation, acidification, eutrophication, and radiation. </w:t>
            </w:r>
          </w:p>
          <w:p w14:paraId="453963DD" w14:textId="4FD88D7E" w:rsidR="00CC755E" w:rsidRPr="00960FF5" w:rsidRDefault="00CC755E" w:rsidP="00933AE6">
            <w:pPr>
              <w:adjustRightInd w:val="0"/>
              <w:spacing w:before="0" w:after="0"/>
              <w:jc w:val="both"/>
              <w:rPr>
                <w:b w:val="0"/>
                <w:bCs w:val="0"/>
                <w:sz w:val="18"/>
                <w:szCs w:val="18"/>
                <w:lang w:val="en-GB"/>
              </w:rPr>
            </w:pPr>
            <w:r w:rsidRPr="00960FF5">
              <w:rPr>
                <w:b w:val="0"/>
                <w:bCs w:val="0"/>
                <w:sz w:val="18"/>
                <w:szCs w:val="18"/>
                <w:lang w:val="en-GB"/>
              </w:rPr>
              <w:t xml:space="preserve">Consumption patterns are key drivers of resource use and waste generation. </w:t>
            </w:r>
          </w:p>
          <w:p w14:paraId="713F092D" w14:textId="77777777" w:rsidR="00CC755E" w:rsidRPr="00960FF5" w:rsidRDefault="00CC755E" w:rsidP="00933AE6">
            <w:pPr>
              <w:adjustRightInd w:val="0"/>
              <w:spacing w:before="0" w:after="0"/>
              <w:jc w:val="both"/>
              <w:rPr>
                <w:b w:val="0"/>
                <w:bCs w:val="0"/>
                <w:sz w:val="18"/>
                <w:szCs w:val="18"/>
                <w:lang w:val="en-GB"/>
              </w:rPr>
            </w:pPr>
            <w:r w:rsidRPr="00960FF5">
              <w:rPr>
                <w:b w:val="0"/>
                <w:bCs w:val="0"/>
                <w:sz w:val="18"/>
                <w:szCs w:val="18"/>
                <w:lang w:val="en-GB"/>
              </w:rPr>
              <w:t xml:space="preserve">Measurements of the global atmospheric concentrations of </w:t>
            </w:r>
            <w:r w:rsidRPr="00960FF5">
              <w:rPr>
                <w:b w:val="0"/>
                <w:bCs w:val="0"/>
                <w:i/>
                <w:sz w:val="18"/>
                <w:szCs w:val="18"/>
                <w:lang w:val="en-GB"/>
              </w:rPr>
              <w:t>greenhouse gases (GHG)</w:t>
            </w:r>
            <w:r w:rsidRPr="00960FF5">
              <w:rPr>
                <w:b w:val="0"/>
                <w:bCs w:val="0"/>
                <w:sz w:val="18"/>
                <w:szCs w:val="18"/>
                <w:lang w:val="en-GB"/>
              </w:rPr>
              <w:t xml:space="preserve"> show marked increases since pre-industrial times, with levels of </w:t>
            </w:r>
            <w:r w:rsidRPr="00960FF5">
              <w:rPr>
                <w:b w:val="0"/>
                <w:bCs w:val="0"/>
                <w:i/>
                <w:sz w:val="18"/>
                <w:szCs w:val="18"/>
                <w:lang w:val="en-GB"/>
              </w:rPr>
              <w:t>carbon dioxide (CO</w:t>
            </w:r>
            <w:r w:rsidRPr="00960FF5">
              <w:rPr>
                <w:b w:val="0"/>
                <w:bCs w:val="0"/>
                <w:i/>
                <w:sz w:val="18"/>
                <w:szCs w:val="18"/>
                <w:vertAlign w:val="subscript"/>
                <w:lang w:val="en-GB"/>
              </w:rPr>
              <w:t>2</w:t>
            </w:r>
            <w:r w:rsidRPr="00960FF5">
              <w:rPr>
                <w:b w:val="0"/>
                <w:bCs w:val="0"/>
                <w:i/>
                <w:sz w:val="18"/>
                <w:szCs w:val="18"/>
                <w:lang w:val="en-GB"/>
              </w:rPr>
              <w:t>)</w:t>
            </w:r>
            <w:r w:rsidRPr="00960FF5">
              <w:rPr>
                <w:b w:val="0"/>
                <w:bCs w:val="0"/>
                <w:sz w:val="18"/>
                <w:szCs w:val="18"/>
                <w:lang w:val="en-GB"/>
              </w:rPr>
              <w:t xml:space="preserve"> far exceeding the natural range of the past 650 000 years. The concentration of atmospheric CO</w:t>
            </w:r>
            <w:r w:rsidRPr="00960FF5">
              <w:rPr>
                <w:b w:val="0"/>
                <w:bCs w:val="0"/>
                <w:sz w:val="18"/>
                <w:szCs w:val="18"/>
                <w:vertAlign w:val="subscript"/>
                <w:lang w:val="en-GB"/>
              </w:rPr>
              <w:t>2</w:t>
            </w:r>
            <w:r w:rsidRPr="00960FF5">
              <w:rPr>
                <w:b w:val="0"/>
                <w:bCs w:val="0"/>
                <w:sz w:val="18"/>
                <w:szCs w:val="18"/>
                <w:lang w:val="en-GB"/>
              </w:rPr>
              <w:t xml:space="preserve"> has increased from a pre-industrial level of about 280 ppm to more than 387 ppm in 2008.</w:t>
            </w:r>
          </w:p>
          <w:p w14:paraId="6735E7BE" w14:textId="0BA72E90" w:rsidR="00043992" w:rsidRPr="00960FF5" w:rsidRDefault="00677511" w:rsidP="00933AE6">
            <w:pPr>
              <w:adjustRightInd w:val="0"/>
              <w:spacing w:before="0" w:after="0"/>
              <w:jc w:val="both"/>
              <w:rPr>
                <w:lang w:val="en-GB"/>
              </w:rPr>
            </w:pPr>
            <w:r w:rsidRPr="00960FF5">
              <w:rPr>
                <w:b w:val="0"/>
                <w:bCs w:val="0"/>
                <w:sz w:val="18"/>
                <w:szCs w:val="18"/>
                <w:lang w:val="en-GB"/>
              </w:rPr>
              <w:t>The EU has been reducing its greenhouse gas emissions, and will meet its Kyoto obligation.</w:t>
            </w:r>
          </w:p>
        </w:tc>
      </w:tr>
    </w:tbl>
    <w:p w14:paraId="4C02F8E2" w14:textId="77777777" w:rsidR="00850CC0" w:rsidRPr="00960FF5" w:rsidRDefault="00850CC0">
      <w:pPr>
        <w:keepNext/>
        <w:rPr>
          <w:sz w:val="2"/>
          <w:szCs w:val="2"/>
          <w:lang w:val="en-GB"/>
        </w:rPr>
      </w:pPr>
    </w:p>
    <w:p w14:paraId="2912DD48" w14:textId="5E895B73" w:rsidR="00850CC0" w:rsidRPr="00462647" w:rsidRDefault="00D61BB5">
      <w:r w:rsidRPr="00462647">
        <w:t xml:space="preserve">Budapest, </w:t>
      </w:r>
      <w:r w:rsidR="000C1CEE" w:rsidRPr="00462647">
        <w:t>202</w:t>
      </w:r>
      <w:r w:rsidR="00CB7E6E" w:rsidRPr="00462647">
        <w:t>5</w:t>
      </w:r>
      <w:r w:rsidR="00C57305" w:rsidRPr="00462647">
        <w:t xml:space="preserve">. </w:t>
      </w:r>
      <w:r w:rsidR="009E438C" w:rsidRPr="00462647">
        <w:t>szeptember 3</w:t>
      </w:r>
      <w:r w:rsidR="000C1CEE" w:rsidRPr="00462647">
        <w:t>.</w:t>
      </w:r>
    </w:p>
    <w:p w14:paraId="53BFCB34" w14:textId="77777777" w:rsidR="00794F54" w:rsidRPr="00462647" w:rsidRDefault="00794F54"/>
    <w:p w14:paraId="7FE35EA2" w14:textId="660C0E3B" w:rsidR="00850CC0" w:rsidRPr="00462647" w:rsidRDefault="00850CC0" w:rsidP="00A96C9C">
      <w:pPr>
        <w:ind w:left="4956" w:hanging="4956"/>
      </w:pPr>
      <w:r w:rsidRPr="00462647">
        <w:t xml:space="preserve">Összeállította: </w:t>
      </w:r>
      <w:r w:rsidR="00A96C9C" w:rsidRPr="00462647">
        <w:t xml:space="preserve">Dr. </w:t>
      </w:r>
      <w:r w:rsidR="003207D0" w:rsidRPr="00462647">
        <w:t>Zsarnóczai J. Sándor</w:t>
      </w:r>
      <w:r w:rsidRPr="00462647">
        <w:tab/>
        <w:t xml:space="preserve">Jóváhagyta: </w:t>
      </w:r>
      <w:r w:rsidR="00A96C9C" w:rsidRPr="00462647">
        <w:t xml:space="preserve">Bodáné Dr. </w:t>
      </w:r>
      <w:proofErr w:type="spellStart"/>
      <w:r w:rsidR="00A96C9C" w:rsidRPr="00462647">
        <w:t>Kendrovics</w:t>
      </w:r>
      <w:proofErr w:type="spellEnd"/>
      <w:r w:rsidR="00A96C9C" w:rsidRPr="00462647">
        <w:t xml:space="preserve"> Rita</w:t>
      </w:r>
    </w:p>
    <w:p w14:paraId="50B25766" w14:textId="7D5893DE" w:rsidR="00850CC0" w:rsidRPr="00462647" w:rsidRDefault="00850CC0">
      <w:r w:rsidRPr="00462647">
        <w:tab/>
      </w:r>
      <w:r w:rsidRPr="00462647">
        <w:tab/>
        <w:t>oktató</w:t>
      </w:r>
      <w:r w:rsidRPr="00462647">
        <w:tab/>
      </w:r>
      <w:r w:rsidRPr="00462647">
        <w:tab/>
      </w:r>
      <w:r w:rsidRPr="00462647">
        <w:tab/>
      </w:r>
      <w:r w:rsidRPr="00462647">
        <w:tab/>
      </w:r>
      <w:r w:rsidRPr="00462647">
        <w:tab/>
      </w:r>
      <w:r w:rsidR="00D61BB5" w:rsidRPr="00462647">
        <w:tab/>
      </w:r>
      <w:r w:rsidR="00D61BB5" w:rsidRPr="00462647">
        <w:tab/>
      </w:r>
      <w:r w:rsidRPr="00462647">
        <w:t>intézetigazgató</w:t>
      </w:r>
    </w:p>
    <w:sectPr w:rsidR="00850CC0" w:rsidRPr="00462647" w:rsidSect="005F73CF">
      <w:footerReference w:type="default" r:id="rId9"/>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AE52" w14:textId="77777777" w:rsidR="00D243EF" w:rsidRDefault="00D243EF">
      <w:r>
        <w:separator/>
      </w:r>
    </w:p>
  </w:endnote>
  <w:endnote w:type="continuationSeparator" w:id="0">
    <w:p w14:paraId="178638E3" w14:textId="77777777" w:rsidR="00D243EF" w:rsidRDefault="00D2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BA95" w14:textId="1E56C74F" w:rsidR="00850CC0" w:rsidRPr="00616790" w:rsidRDefault="00616790" w:rsidP="00803351">
    <w:pPr>
      <w:rPr>
        <w:rFonts w:ascii="Times New Roman" w:hAnsi="Times New Roman" w:cs="Times New Roman"/>
        <w:lang w:val="en-GB"/>
      </w:rPr>
    </w:pPr>
    <w:r w:rsidRPr="00616790">
      <w:rPr>
        <w:rFonts w:ascii="Times New Roman" w:hAnsi="Times New Roman" w:cs="Times New Roman"/>
        <w:lang w:val="en-GB"/>
      </w:rPr>
      <w:t>Environmental Management and Impact Assessment</w:t>
    </w:r>
    <w:r>
      <w:rPr>
        <w:rFonts w:ascii="Times New Roman" w:hAnsi="Times New Roman" w:cs="Times New Roman"/>
        <w:lang w:val="en-GB"/>
      </w:rPr>
      <w:t xml:space="preserve"> RKXKH1EBNF</w:t>
    </w:r>
    <w:r w:rsidRPr="00616790">
      <w:rPr>
        <w:rFonts w:ascii="Times New Roman" w:hAnsi="Times New Roman" w:cs="Times New Roman"/>
        <w:lang w:val="en-GB"/>
      </w:rPr>
      <w:ptab w:relativeTo="margin" w:alignment="right" w:leader="none"/>
    </w:r>
    <w:r>
      <w:rPr>
        <w:rFonts w:ascii="Times New Roman" w:hAnsi="Times New Roman" w:cs="Times New Roman"/>
        <w:lang w:val="en-GB"/>
      </w:rPr>
      <w:t>Description detailed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22B2" w14:textId="77777777" w:rsidR="00D243EF" w:rsidRDefault="00D243EF">
      <w:r>
        <w:separator/>
      </w:r>
    </w:p>
  </w:footnote>
  <w:footnote w:type="continuationSeparator" w:id="0">
    <w:p w14:paraId="437DEE47" w14:textId="77777777" w:rsidR="00D243EF" w:rsidRDefault="00D24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5D2"/>
    <w:multiLevelType w:val="hybridMultilevel"/>
    <w:tmpl w:val="91AE29F6"/>
    <w:lvl w:ilvl="0" w:tplc="1944C44C">
      <w:start w:val="1"/>
      <w:numFmt w:val="bullet"/>
      <w:lvlText w:val="•"/>
      <w:lvlJc w:val="left"/>
      <w:pPr>
        <w:tabs>
          <w:tab w:val="num" w:pos="720"/>
        </w:tabs>
        <w:ind w:left="720" w:hanging="360"/>
      </w:pPr>
      <w:rPr>
        <w:rFonts w:ascii="Arial" w:hAnsi="Arial" w:hint="default"/>
      </w:rPr>
    </w:lvl>
    <w:lvl w:ilvl="1" w:tplc="1AB62762" w:tentative="1">
      <w:start w:val="1"/>
      <w:numFmt w:val="bullet"/>
      <w:lvlText w:val="•"/>
      <w:lvlJc w:val="left"/>
      <w:pPr>
        <w:tabs>
          <w:tab w:val="num" w:pos="1440"/>
        </w:tabs>
        <w:ind w:left="1440" w:hanging="360"/>
      </w:pPr>
      <w:rPr>
        <w:rFonts w:ascii="Arial" w:hAnsi="Arial" w:hint="default"/>
      </w:rPr>
    </w:lvl>
    <w:lvl w:ilvl="2" w:tplc="30B2989A" w:tentative="1">
      <w:start w:val="1"/>
      <w:numFmt w:val="bullet"/>
      <w:lvlText w:val="•"/>
      <w:lvlJc w:val="left"/>
      <w:pPr>
        <w:tabs>
          <w:tab w:val="num" w:pos="2160"/>
        </w:tabs>
        <w:ind w:left="2160" w:hanging="360"/>
      </w:pPr>
      <w:rPr>
        <w:rFonts w:ascii="Arial" w:hAnsi="Arial" w:hint="default"/>
      </w:rPr>
    </w:lvl>
    <w:lvl w:ilvl="3" w:tplc="E8EA024E" w:tentative="1">
      <w:start w:val="1"/>
      <w:numFmt w:val="bullet"/>
      <w:lvlText w:val="•"/>
      <w:lvlJc w:val="left"/>
      <w:pPr>
        <w:tabs>
          <w:tab w:val="num" w:pos="2880"/>
        </w:tabs>
        <w:ind w:left="2880" w:hanging="360"/>
      </w:pPr>
      <w:rPr>
        <w:rFonts w:ascii="Arial" w:hAnsi="Arial" w:hint="default"/>
      </w:rPr>
    </w:lvl>
    <w:lvl w:ilvl="4" w:tplc="E0F6BF1A" w:tentative="1">
      <w:start w:val="1"/>
      <w:numFmt w:val="bullet"/>
      <w:lvlText w:val="•"/>
      <w:lvlJc w:val="left"/>
      <w:pPr>
        <w:tabs>
          <w:tab w:val="num" w:pos="3600"/>
        </w:tabs>
        <w:ind w:left="3600" w:hanging="360"/>
      </w:pPr>
      <w:rPr>
        <w:rFonts w:ascii="Arial" w:hAnsi="Arial" w:hint="default"/>
      </w:rPr>
    </w:lvl>
    <w:lvl w:ilvl="5" w:tplc="EB2EC4E0" w:tentative="1">
      <w:start w:val="1"/>
      <w:numFmt w:val="bullet"/>
      <w:lvlText w:val="•"/>
      <w:lvlJc w:val="left"/>
      <w:pPr>
        <w:tabs>
          <w:tab w:val="num" w:pos="4320"/>
        </w:tabs>
        <w:ind w:left="4320" w:hanging="360"/>
      </w:pPr>
      <w:rPr>
        <w:rFonts w:ascii="Arial" w:hAnsi="Arial" w:hint="default"/>
      </w:rPr>
    </w:lvl>
    <w:lvl w:ilvl="6" w:tplc="45125738" w:tentative="1">
      <w:start w:val="1"/>
      <w:numFmt w:val="bullet"/>
      <w:lvlText w:val="•"/>
      <w:lvlJc w:val="left"/>
      <w:pPr>
        <w:tabs>
          <w:tab w:val="num" w:pos="5040"/>
        </w:tabs>
        <w:ind w:left="5040" w:hanging="360"/>
      </w:pPr>
      <w:rPr>
        <w:rFonts w:ascii="Arial" w:hAnsi="Arial" w:hint="default"/>
      </w:rPr>
    </w:lvl>
    <w:lvl w:ilvl="7" w:tplc="8C46CDDE" w:tentative="1">
      <w:start w:val="1"/>
      <w:numFmt w:val="bullet"/>
      <w:lvlText w:val="•"/>
      <w:lvlJc w:val="left"/>
      <w:pPr>
        <w:tabs>
          <w:tab w:val="num" w:pos="5760"/>
        </w:tabs>
        <w:ind w:left="5760" w:hanging="360"/>
      </w:pPr>
      <w:rPr>
        <w:rFonts w:ascii="Arial" w:hAnsi="Arial" w:hint="default"/>
      </w:rPr>
    </w:lvl>
    <w:lvl w:ilvl="8" w:tplc="79E48F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994497"/>
    <w:multiLevelType w:val="multilevel"/>
    <w:tmpl w:val="040E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29C3584"/>
    <w:multiLevelType w:val="hybridMultilevel"/>
    <w:tmpl w:val="9726104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3DD97D0C"/>
    <w:multiLevelType w:val="multilevel"/>
    <w:tmpl w:val="5F3CE5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4E35EB8"/>
    <w:multiLevelType w:val="hybridMultilevel"/>
    <w:tmpl w:val="2B56D63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BAF1E65"/>
    <w:multiLevelType w:val="hybridMultilevel"/>
    <w:tmpl w:val="8E8AD398"/>
    <w:lvl w:ilvl="0" w:tplc="F4E22100">
      <w:start w:val="1"/>
      <w:numFmt w:val="bullet"/>
      <w:lvlText w:val="•"/>
      <w:lvlJc w:val="left"/>
      <w:pPr>
        <w:tabs>
          <w:tab w:val="num" w:pos="720"/>
        </w:tabs>
        <w:ind w:left="720" w:hanging="360"/>
      </w:pPr>
      <w:rPr>
        <w:rFonts w:ascii="Arial" w:hAnsi="Arial" w:hint="default"/>
      </w:rPr>
    </w:lvl>
    <w:lvl w:ilvl="1" w:tplc="796C962C" w:tentative="1">
      <w:start w:val="1"/>
      <w:numFmt w:val="bullet"/>
      <w:lvlText w:val="•"/>
      <w:lvlJc w:val="left"/>
      <w:pPr>
        <w:tabs>
          <w:tab w:val="num" w:pos="1440"/>
        </w:tabs>
        <w:ind w:left="1440" w:hanging="360"/>
      </w:pPr>
      <w:rPr>
        <w:rFonts w:ascii="Arial" w:hAnsi="Arial" w:hint="default"/>
      </w:rPr>
    </w:lvl>
    <w:lvl w:ilvl="2" w:tplc="B2562644" w:tentative="1">
      <w:start w:val="1"/>
      <w:numFmt w:val="bullet"/>
      <w:lvlText w:val="•"/>
      <w:lvlJc w:val="left"/>
      <w:pPr>
        <w:tabs>
          <w:tab w:val="num" w:pos="2160"/>
        </w:tabs>
        <w:ind w:left="2160" w:hanging="360"/>
      </w:pPr>
      <w:rPr>
        <w:rFonts w:ascii="Arial" w:hAnsi="Arial" w:hint="default"/>
      </w:rPr>
    </w:lvl>
    <w:lvl w:ilvl="3" w:tplc="862E30BA" w:tentative="1">
      <w:start w:val="1"/>
      <w:numFmt w:val="bullet"/>
      <w:lvlText w:val="•"/>
      <w:lvlJc w:val="left"/>
      <w:pPr>
        <w:tabs>
          <w:tab w:val="num" w:pos="2880"/>
        </w:tabs>
        <w:ind w:left="2880" w:hanging="360"/>
      </w:pPr>
      <w:rPr>
        <w:rFonts w:ascii="Arial" w:hAnsi="Arial" w:hint="default"/>
      </w:rPr>
    </w:lvl>
    <w:lvl w:ilvl="4" w:tplc="B07ABFD4" w:tentative="1">
      <w:start w:val="1"/>
      <w:numFmt w:val="bullet"/>
      <w:lvlText w:val="•"/>
      <w:lvlJc w:val="left"/>
      <w:pPr>
        <w:tabs>
          <w:tab w:val="num" w:pos="3600"/>
        </w:tabs>
        <w:ind w:left="3600" w:hanging="360"/>
      </w:pPr>
      <w:rPr>
        <w:rFonts w:ascii="Arial" w:hAnsi="Arial" w:hint="default"/>
      </w:rPr>
    </w:lvl>
    <w:lvl w:ilvl="5" w:tplc="AEE8A73A" w:tentative="1">
      <w:start w:val="1"/>
      <w:numFmt w:val="bullet"/>
      <w:lvlText w:val="•"/>
      <w:lvlJc w:val="left"/>
      <w:pPr>
        <w:tabs>
          <w:tab w:val="num" w:pos="4320"/>
        </w:tabs>
        <w:ind w:left="4320" w:hanging="360"/>
      </w:pPr>
      <w:rPr>
        <w:rFonts w:ascii="Arial" w:hAnsi="Arial" w:hint="default"/>
      </w:rPr>
    </w:lvl>
    <w:lvl w:ilvl="6" w:tplc="EC10AE36" w:tentative="1">
      <w:start w:val="1"/>
      <w:numFmt w:val="bullet"/>
      <w:lvlText w:val="•"/>
      <w:lvlJc w:val="left"/>
      <w:pPr>
        <w:tabs>
          <w:tab w:val="num" w:pos="5040"/>
        </w:tabs>
        <w:ind w:left="5040" w:hanging="360"/>
      </w:pPr>
      <w:rPr>
        <w:rFonts w:ascii="Arial" w:hAnsi="Arial" w:hint="default"/>
      </w:rPr>
    </w:lvl>
    <w:lvl w:ilvl="7" w:tplc="C66A4B2C" w:tentative="1">
      <w:start w:val="1"/>
      <w:numFmt w:val="bullet"/>
      <w:lvlText w:val="•"/>
      <w:lvlJc w:val="left"/>
      <w:pPr>
        <w:tabs>
          <w:tab w:val="num" w:pos="5760"/>
        </w:tabs>
        <w:ind w:left="5760" w:hanging="360"/>
      </w:pPr>
      <w:rPr>
        <w:rFonts w:ascii="Arial" w:hAnsi="Arial" w:hint="default"/>
      </w:rPr>
    </w:lvl>
    <w:lvl w:ilvl="8" w:tplc="6CDCA370" w:tentative="1">
      <w:start w:val="1"/>
      <w:numFmt w:val="bullet"/>
      <w:lvlText w:val="•"/>
      <w:lvlJc w:val="left"/>
      <w:pPr>
        <w:tabs>
          <w:tab w:val="num" w:pos="6480"/>
        </w:tabs>
        <w:ind w:left="6480" w:hanging="360"/>
      </w:pPr>
      <w:rPr>
        <w:rFonts w:ascii="Arial" w:hAnsi="Arial" w:hint="default"/>
      </w:rPr>
    </w:lvl>
  </w:abstractNum>
  <w:num w:numId="1" w16cid:durableId="58603506">
    <w:abstractNumId w:val="3"/>
  </w:num>
  <w:num w:numId="2" w16cid:durableId="341400404">
    <w:abstractNumId w:val="1"/>
  </w:num>
  <w:num w:numId="3" w16cid:durableId="2125877566">
    <w:abstractNumId w:val="4"/>
  </w:num>
  <w:num w:numId="4" w16cid:durableId="1657958627">
    <w:abstractNumId w:val="2"/>
  </w:num>
  <w:num w:numId="5" w16cid:durableId="1779064202">
    <w:abstractNumId w:val="5"/>
  </w:num>
  <w:num w:numId="6" w16cid:durableId="211366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C5"/>
    <w:rsid w:val="00032AFE"/>
    <w:rsid w:val="0003738C"/>
    <w:rsid w:val="00037A5D"/>
    <w:rsid w:val="00043992"/>
    <w:rsid w:val="00044E2A"/>
    <w:rsid w:val="00050128"/>
    <w:rsid w:val="000855DB"/>
    <w:rsid w:val="000A5CE5"/>
    <w:rsid w:val="000C1CEE"/>
    <w:rsid w:val="000C4170"/>
    <w:rsid w:val="000C4595"/>
    <w:rsid w:val="000C6152"/>
    <w:rsid w:val="000E67D3"/>
    <w:rsid w:val="000F5650"/>
    <w:rsid w:val="00120852"/>
    <w:rsid w:val="001719CA"/>
    <w:rsid w:val="001739DD"/>
    <w:rsid w:val="00174C71"/>
    <w:rsid w:val="001A354F"/>
    <w:rsid w:val="001C4906"/>
    <w:rsid w:val="001D6E10"/>
    <w:rsid w:val="001E2B50"/>
    <w:rsid w:val="002252F8"/>
    <w:rsid w:val="00233614"/>
    <w:rsid w:val="0027262F"/>
    <w:rsid w:val="00275BB2"/>
    <w:rsid w:val="00296A3F"/>
    <w:rsid w:val="002C1CFB"/>
    <w:rsid w:val="002E3C1C"/>
    <w:rsid w:val="002E7519"/>
    <w:rsid w:val="003129E2"/>
    <w:rsid w:val="00313E48"/>
    <w:rsid w:val="003207D0"/>
    <w:rsid w:val="00336509"/>
    <w:rsid w:val="00337E42"/>
    <w:rsid w:val="003460D4"/>
    <w:rsid w:val="00354750"/>
    <w:rsid w:val="00375896"/>
    <w:rsid w:val="00383855"/>
    <w:rsid w:val="00393CC5"/>
    <w:rsid w:val="003B14B1"/>
    <w:rsid w:val="003B2DC1"/>
    <w:rsid w:val="003B3DA7"/>
    <w:rsid w:val="003E0FFE"/>
    <w:rsid w:val="003E1EE9"/>
    <w:rsid w:val="003E23F9"/>
    <w:rsid w:val="00421830"/>
    <w:rsid w:val="00425222"/>
    <w:rsid w:val="00433C42"/>
    <w:rsid w:val="004567C5"/>
    <w:rsid w:val="00462647"/>
    <w:rsid w:val="0046553E"/>
    <w:rsid w:val="00467943"/>
    <w:rsid w:val="00490E62"/>
    <w:rsid w:val="004A7D53"/>
    <w:rsid w:val="004D0E44"/>
    <w:rsid w:val="004E612A"/>
    <w:rsid w:val="004F233B"/>
    <w:rsid w:val="004F5B28"/>
    <w:rsid w:val="005023CC"/>
    <w:rsid w:val="00503421"/>
    <w:rsid w:val="00507F5A"/>
    <w:rsid w:val="0051351E"/>
    <w:rsid w:val="00520A35"/>
    <w:rsid w:val="00522E74"/>
    <w:rsid w:val="0054529D"/>
    <w:rsid w:val="00560D94"/>
    <w:rsid w:val="00570EC3"/>
    <w:rsid w:val="00576B80"/>
    <w:rsid w:val="005A41DC"/>
    <w:rsid w:val="005A55D3"/>
    <w:rsid w:val="005B0875"/>
    <w:rsid w:val="005B1031"/>
    <w:rsid w:val="005C1F12"/>
    <w:rsid w:val="005E5AED"/>
    <w:rsid w:val="005F73CF"/>
    <w:rsid w:val="00616790"/>
    <w:rsid w:val="006369D6"/>
    <w:rsid w:val="00640A6F"/>
    <w:rsid w:val="0066068F"/>
    <w:rsid w:val="00661A04"/>
    <w:rsid w:val="006748D6"/>
    <w:rsid w:val="00677511"/>
    <w:rsid w:val="006B2A87"/>
    <w:rsid w:val="006B2B90"/>
    <w:rsid w:val="006C0E10"/>
    <w:rsid w:val="006C46E2"/>
    <w:rsid w:val="006C5A02"/>
    <w:rsid w:val="006E3412"/>
    <w:rsid w:val="007078AD"/>
    <w:rsid w:val="00721B1E"/>
    <w:rsid w:val="00736E16"/>
    <w:rsid w:val="00747776"/>
    <w:rsid w:val="0075713C"/>
    <w:rsid w:val="0075727C"/>
    <w:rsid w:val="00763091"/>
    <w:rsid w:val="00773B73"/>
    <w:rsid w:val="00786F59"/>
    <w:rsid w:val="00794F54"/>
    <w:rsid w:val="007A5108"/>
    <w:rsid w:val="007B6624"/>
    <w:rsid w:val="007C2EB1"/>
    <w:rsid w:val="008019F0"/>
    <w:rsid w:val="00803351"/>
    <w:rsid w:val="00824C66"/>
    <w:rsid w:val="008336A3"/>
    <w:rsid w:val="00850CC0"/>
    <w:rsid w:val="00855630"/>
    <w:rsid w:val="00862EA3"/>
    <w:rsid w:val="00883CA8"/>
    <w:rsid w:val="00893A0B"/>
    <w:rsid w:val="008A5F51"/>
    <w:rsid w:val="008A74BC"/>
    <w:rsid w:val="008B516B"/>
    <w:rsid w:val="008C6E75"/>
    <w:rsid w:val="008E35FF"/>
    <w:rsid w:val="008F0F02"/>
    <w:rsid w:val="0090545B"/>
    <w:rsid w:val="009243E8"/>
    <w:rsid w:val="00931144"/>
    <w:rsid w:val="00933AE6"/>
    <w:rsid w:val="0094003F"/>
    <w:rsid w:val="00960FF5"/>
    <w:rsid w:val="00973AAF"/>
    <w:rsid w:val="009904B3"/>
    <w:rsid w:val="009A0CC5"/>
    <w:rsid w:val="009B312B"/>
    <w:rsid w:val="009C5479"/>
    <w:rsid w:val="009D1348"/>
    <w:rsid w:val="009D198D"/>
    <w:rsid w:val="009D513A"/>
    <w:rsid w:val="009D6299"/>
    <w:rsid w:val="009E438C"/>
    <w:rsid w:val="00A1148B"/>
    <w:rsid w:val="00A24199"/>
    <w:rsid w:val="00A25E38"/>
    <w:rsid w:val="00A31774"/>
    <w:rsid w:val="00A76005"/>
    <w:rsid w:val="00A96C9C"/>
    <w:rsid w:val="00AB7783"/>
    <w:rsid w:val="00AB78E2"/>
    <w:rsid w:val="00B05608"/>
    <w:rsid w:val="00B317EB"/>
    <w:rsid w:val="00B6498C"/>
    <w:rsid w:val="00B97FC6"/>
    <w:rsid w:val="00BF1409"/>
    <w:rsid w:val="00BF440C"/>
    <w:rsid w:val="00BF6000"/>
    <w:rsid w:val="00BF6070"/>
    <w:rsid w:val="00C203C6"/>
    <w:rsid w:val="00C57305"/>
    <w:rsid w:val="00C61DE6"/>
    <w:rsid w:val="00C643B1"/>
    <w:rsid w:val="00C750F4"/>
    <w:rsid w:val="00C80BE4"/>
    <w:rsid w:val="00C9200D"/>
    <w:rsid w:val="00CA266C"/>
    <w:rsid w:val="00CB5B38"/>
    <w:rsid w:val="00CB7E6E"/>
    <w:rsid w:val="00CC2D16"/>
    <w:rsid w:val="00CC755E"/>
    <w:rsid w:val="00D15F2B"/>
    <w:rsid w:val="00D243EF"/>
    <w:rsid w:val="00D60D9E"/>
    <w:rsid w:val="00D61BB5"/>
    <w:rsid w:val="00DA371B"/>
    <w:rsid w:val="00DE27F2"/>
    <w:rsid w:val="00E05980"/>
    <w:rsid w:val="00E21B8D"/>
    <w:rsid w:val="00E2390D"/>
    <w:rsid w:val="00E344EF"/>
    <w:rsid w:val="00E34E37"/>
    <w:rsid w:val="00E4526A"/>
    <w:rsid w:val="00E456B4"/>
    <w:rsid w:val="00E56AE6"/>
    <w:rsid w:val="00E7489A"/>
    <w:rsid w:val="00E81A33"/>
    <w:rsid w:val="00EB55F6"/>
    <w:rsid w:val="00EC6697"/>
    <w:rsid w:val="00F04D01"/>
    <w:rsid w:val="00F061D6"/>
    <w:rsid w:val="00F17900"/>
    <w:rsid w:val="00F41EAC"/>
    <w:rsid w:val="00F43212"/>
    <w:rsid w:val="00F55456"/>
    <w:rsid w:val="00F650D3"/>
    <w:rsid w:val="00F706A4"/>
    <w:rsid w:val="00F71783"/>
    <w:rsid w:val="00F90406"/>
    <w:rsid w:val="00FB6C2E"/>
    <w:rsid w:val="00FD37DB"/>
    <w:rsid w:val="00FD75CC"/>
    <w:rsid w:val="00FE04E7"/>
    <w:rsid w:val="00FE68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1BB84"/>
  <w14:defaultImageDpi w14:val="0"/>
  <w15:docId w15:val="{953EECAD-CFDB-4A1B-90F4-3ED36EE2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envelope return" w:semiHidden="1"/>
    <w:lsdException w:name="page number" w:semiHidden="1"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spacing w:before="40" w:after="40" w:line="240" w:lineRule="auto"/>
    </w:pPr>
    <w:rPr>
      <w:rFonts w:ascii="Arial" w:hAnsi="Arial" w:cs="Arial"/>
      <w:b/>
      <w:bCs/>
      <w:sz w:val="20"/>
      <w:szCs w:val="20"/>
    </w:rPr>
  </w:style>
  <w:style w:type="paragraph" w:styleId="Cmsor1">
    <w:name w:val="heading 1"/>
    <w:basedOn w:val="Norml"/>
    <w:next w:val="Norml"/>
    <w:link w:val="Cmsor1Char"/>
    <w:uiPriority w:val="99"/>
    <w:qFormat/>
    <w:pPr>
      <w:keepNext/>
      <w:jc w:val="center"/>
      <w:outlineLvl w:val="0"/>
    </w:pPr>
    <w:rPr>
      <w:b w:val="0"/>
      <w:bCs w:val="0"/>
      <w:smallCaps/>
    </w:rPr>
  </w:style>
  <w:style w:type="paragraph" w:styleId="Cmsor2">
    <w:name w:val="heading 2"/>
    <w:basedOn w:val="Norml"/>
    <w:next w:val="Norml"/>
    <w:link w:val="Cmsor2Char"/>
    <w:uiPriority w:val="99"/>
    <w:qFormat/>
    <w:pPr>
      <w:keepNext/>
      <w:outlineLvl w:val="1"/>
    </w:pPr>
    <w:rPr>
      <w:b w:val="0"/>
      <w:bCs w:val="0"/>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paragraph" w:customStyle="1" w:styleId="Tblzatcmke">
    <w:name w:val="Táblázatcímke"/>
    <w:basedOn w:val="Norml"/>
    <w:uiPriority w:val="99"/>
    <w:pPr>
      <w:jc w:val="right"/>
    </w:pPr>
    <w:rPr>
      <w:b w:val="0"/>
      <w:bCs w:val="0"/>
      <w:i/>
      <w:iCs/>
    </w:rPr>
  </w:style>
  <w:style w:type="paragraph" w:styleId="Feladcmebortkon">
    <w:name w:val="envelope return"/>
    <w:basedOn w:val="Norml"/>
    <w:uiPriority w:val="99"/>
    <w:rPr>
      <w:b w:val="0"/>
      <w:bCs w:val="0"/>
      <w:sz w:val="96"/>
      <w:szCs w:val="96"/>
    </w:rPr>
  </w:style>
  <w:style w:type="paragraph" w:customStyle="1" w:styleId="Lers">
    <w:name w:val="Leírás"/>
    <w:basedOn w:val="Norml"/>
    <w:pPr>
      <w:jc w:val="both"/>
    </w:pPr>
    <w:rPr>
      <w:b w:val="0"/>
      <w:bCs w:val="0"/>
    </w:rPr>
  </w:style>
  <w:style w:type="character" w:styleId="Oldalszm">
    <w:name w:val="page number"/>
    <w:basedOn w:val="Bekezdsalapbettpusa"/>
    <w:rPr>
      <w:rFonts w:cs="Times New Roman"/>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ascii="Arial" w:hAnsi="Arial" w:cs="Arial"/>
      <w:b/>
      <w:bCs/>
      <w:sz w:val="20"/>
      <w:szCs w:val="20"/>
    </w:rPr>
  </w:style>
  <w:style w:type="character" w:customStyle="1" w:styleId="llbChar">
    <w:name w:val="Élőláb Char"/>
    <w:basedOn w:val="Bekezdsalapbettpusa"/>
    <w:link w:val="llb"/>
    <w:uiPriority w:val="99"/>
    <w:locked/>
    <w:rPr>
      <w:rFonts w:ascii="Arial" w:hAnsi="Arial" w:cs="Arial"/>
      <w:b/>
      <w:bCs/>
      <w:sz w:val="20"/>
      <w:szCs w:val="20"/>
    </w:rPr>
  </w:style>
  <w:style w:type="paragraph" w:styleId="llb">
    <w:name w:val="footer"/>
    <w:basedOn w:val="Norml"/>
    <w:link w:val="llbChar"/>
    <w:uiPriority w:val="99"/>
    <w:pPr>
      <w:tabs>
        <w:tab w:val="center" w:pos="4536"/>
        <w:tab w:val="right" w:pos="9072"/>
      </w:tabs>
    </w:pPr>
  </w:style>
  <w:style w:type="character" w:customStyle="1" w:styleId="llbChar1">
    <w:name w:val="Élőláb Char1"/>
    <w:basedOn w:val="Bekezdsalapbettpusa"/>
    <w:uiPriority w:val="99"/>
    <w:semiHidden/>
    <w:rPr>
      <w:rFonts w:ascii="Arial" w:hAnsi="Arial" w:cs="Arial"/>
      <w:b/>
      <w:bCs/>
      <w:sz w:val="20"/>
      <w:szCs w:val="20"/>
    </w:rPr>
  </w:style>
  <w:style w:type="character" w:customStyle="1" w:styleId="llbChar16">
    <w:name w:val="Élőláb Char16"/>
    <w:basedOn w:val="Bekezdsalapbettpusa"/>
    <w:uiPriority w:val="99"/>
    <w:semiHidden/>
    <w:rPr>
      <w:rFonts w:ascii="Arial" w:hAnsi="Arial" w:cs="Arial"/>
      <w:b/>
      <w:bCs/>
      <w:sz w:val="20"/>
      <w:szCs w:val="20"/>
    </w:rPr>
  </w:style>
  <w:style w:type="character" w:customStyle="1" w:styleId="llbChar15">
    <w:name w:val="Élőláb Char15"/>
    <w:basedOn w:val="Bekezdsalapbettpusa"/>
    <w:uiPriority w:val="99"/>
    <w:semiHidden/>
    <w:rPr>
      <w:rFonts w:ascii="Arial" w:hAnsi="Arial" w:cs="Arial"/>
      <w:b/>
      <w:bCs/>
      <w:sz w:val="20"/>
      <w:szCs w:val="20"/>
    </w:rPr>
  </w:style>
  <w:style w:type="character" w:customStyle="1" w:styleId="llbChar14">
    <w:name w:val="Élőláb Char14"/>
    <w:basedOn w:val="Bekezdsalapbettpusa"/>
    <w:uiPriority w:val="99"/>
    <w:semiHidden/>
    <w:rPr>
      <w:rFonts w:ascii="Arial" w:hAnsi="Arial" w:cs="Arial"/>
      <w:b/>
      <w:bCs/>
      <w:sz w:val="20"/>
      <w:szCs w:val="20"/>
    </w:rPr>
  </w:style>
  <w:style w:type="character" w:customStyle="1" w:styleId="llbChar13">
    <w:name w:val="Élőláb Char13"/>
    <w:basedOn w:val="Bekezdsalapbettpusa"/>
    <w:uiPriority w:val="99"/>
    <w:semiHidden/>
    <w:rPr>
      <w:rFonts w:ascii="Arial" w:hAnsi="Arial" w:cs="Arial"/>
      <w:b/>
      <w:bCs/>
      <w:sz w:val="20"/>
      <w:szCs w:val="20"/>
      <w:lang w:val="hu-HU" w:eastAsia="hu-HU"/>
    </w:rPr>
  </w:style>
  <w:style w:type="character" w:customStyle="1" w:styleId="llbChar12">
    <w:name w:val="Élőláb Char12"/>
    <w:basedOn w:val="Bekezdsalapbettpusa"/>
    <w:uiPriority w:val="99"/>
    <w:semiHidden/>
    <w:rPr>
      <w:rFonts w:ascii="Arial" w:hAnsi="Arial" w:cs="Arial"/>
      <w:b/>
      <w:bCs/>
      <w:sz w:val="20"/>
      <w:szCs w:val="20"/>
      <w:lang w:val="hu-HU" w:eastAsia="hu-HU"/>
    </w:rPr>
  </w:style>
  <w:style w:type="character" w:customStyle="1" w:styleId="llbChar11">
    <w:name w:val="Élőláb Char11"/>
    <w:basedOn w:val="Bekezdsalapbettpusa"/>
    <w:uiPriority w:val="99"/>
    <w:semiHidden/>
    <w:rPr>
      <w:rFonts w:ascii="Arial" w:hAnsi="Arial" w:cs="Arial"/>
      <w:b/>
      <w:bCs/>
      <w:sz w:val="20"/>
      <w:szCs w:val="20"/>
      <w:lang w:val="hu-HU" w:eastAsia="hu-HU"/>
    </w:rPr>
  </w:style>
  <w:style w:type="character" w:styleId="Hiperhivatkozs">
    <w:name w:val="Hyperlink"/>
    <w:rsid w:val="00E34E37"/>
    <w:rPr>
      <w:color w:val="0000FF"/>
      <w:u w:val="single"/>
    </w:rPr>
  </w:style>
  <w:style w:type="character" w:customStyle="1" w:styleId="articledoilabel">
    <w:name w:val="article_doi_label"/>
    <w:rsid w:val="00E34E37"/>
  </w:style>
  <w:style w:type="character" w:customStyle="1" w:styleId="zgwo7">
    <w:name w:val="zgwo7"/>
    <w:basedOn w:val="Bekezdsalapbettpusa"/>
    <w:rsid w:val="009D198D"/>
  </w:style>
  <w:style w:type="character" w:styleId="Finomkiemels">
    <w:name w:val="Subtle Emphasis"/>
    <w:uiPriority w:val="19"/>
    <w:qFormat/>
    <w:rsid w:val="00043992"/>
    <w:rPr>
      <w:i/>
      <w:iCs/>
      <w:color w:val="404040"/>
    </w:rPr>
  </w:style>
  <w:style w:type="paragraph" w:styleId="Nincstrkz">
    <w:name w:val="No Spacing"/>
    <w:uiPriority w:val="1"/>
    <w:qFormat/>
    <w:rsid w:val="0066068F"/>
    <w:pPr>
      <w:widowControl w:val="0"/>
      <w:autoSpaceDE w:val="0"/>
      <w:autoSpaceDN w:val="0"/>
      <w:spacing w:after="0" w:line="240" w:lineRule="auto"/>
    </w:pPr>
    <w:rPr>
      <w:rFonts w:ascii="Arial" w:hAnsi="Arial" w:cs="Arial"/>
      <w:b/>
      <w:bCs/>
      <w:sz w:val="20"/>
      <w:szCs w:val="20"/>
    </w:rPr>
  </w:style>
  <w:style w:type="character" w:styleId="Kiemels2">
    <w:name w:val="Strong"/>
    <w:basedOn w:val="Bekezdsalapbettpusa"/>
    <w:uiPriority w:val="22"/>
    <w:qFormat/>
    <w:rsid w:val="0066068F"/>
    <w:rPr>
      <w:b/>
      <w:bCs/>
    </w:rPr>
  </w:style>
  <w:style w:type="paragraph" w:styleId="NormlWeb">
    <w:name w:val="Normal (Web)"/>
    <w:basedOn w:val="Norml"/>
    <w:uiPriority w:val="99"/>
    <w:unhideWhenUsed/>
    <w:rsid w:val="00960FF5"/>
    <w:pPr>
      <w:widowControl/>
      <w:autoSpaceDE/>
      <w:autoSpaceDN/>
      <w:spacing w:before="100" w:beforeAutospacing="1" w:after="100" w:afterAutospacing="1"/>
    </w:pPr>
    <w:rPr>
      <w:rFonts w:ascii="Times New Roman" w:eastAsia="Times New Roman" w:hAnsi="Times New Roman" w:cs="Times New Roman"/>
      <w:b w:val="0"/>
      <w:bCs w:val="0"/>
      <w:sz w:val="24"/>
      <w:szCs w:val="24"/>
      <w:lang w:val="en-GB" w:eastAsia="en-GB"/>
    </w:rPr>
  </w:style>
  <w:style w:type="character" w:styleId="Erskiemels">
    <w:name w:val="Intense Emphasis"/>
    <w:basedOn w:val="Bekezdsalapbettpusa"/>
    <w:uiPriority w:val="21"/>
    <w:qFormat/>
    <w:rsid w:val="00960FF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ZSARNOCZAI-DOKUMENTUMOK\MUNKA_2020\MUNKA\KLIMAGAZDASAG%20-%202010%20Aprilis%2027\&#211;BUDAI_EGYETEM_2016\STUDY_BSC_2021_Sept\ENVIRONMENTAL%20MANAGEMENT_2021\Economic%20growth%20and%20the%20environment%20-%20GOV.UK,%20https:\assets.publishing.service.gov.uk&#160;&#82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9ED9-65DE-4E1E-AF0C-B7F4ED18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3117</Words>
  <Characters>17770</Characters>
  <Application>Microsoft Office Word</Application>
  <DocSecurity>0</DocSecurity>
  <Lines>148</Lines>
  <Paragraphs>41</Paragraphs>
  <ScaleCrop>false</ScaleCrop>
  <HeadingPairs>
    <vt:vector size="2" baseType="variant">
      <vt:variant>
        <vt:lpstr>Cím</vt:lpstr>
      </vt:variant>
      <vt:variant>
        <vt:i4>1</vt:i4>
      </vt:variant>
    </vt:vector>
  </HeadingPairs>
  <TitlesOfParts>
    <vt:vector size="1" baseType="lpstr">
      <vt:lpstr>ÓBUDAI EGYETEM</vt:lpstr>
    </vt:vector>
  </TitlesOfParts>
  <Company>DTI</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ÓBUDAI EGYETEM</dc:title>
  <dc:subject/>
  <dc:creator>Zsuzsa</dc:creator>
  <cp:keywords/>
  <dc:description/>
  <cp:lastModifiedBy>Éva Zsarnóczainé Vörös</cp:lastModifiedBy>
  <cp:revision>49</cp:revision>
  <cp:lastPrinted>2025-08-25T14:18:00Z</cp:lastPrinted>
  <dcterms:created xsi:type="dcterms:W3CDTF">2021-09-27T11:04:00Z</dcterms:created>
  <dcterms:modified xsi:type="dcterms:W3CDTF">2025-08-25T14:35:00Z</dcterms:modified>
</cp:coreProperties>
</file>