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672"/>
        <w:gridCol w:w="2128"/>
        <w:gridCol w:w="2283"/>
        <w:gridCol w:w="1785"/>
      </w:tblGrid>
      <w:tr w:rsidR="006A1D9E" w:rsidRPr="0000235C" w:rsidTr="0039381E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Tárgy neve: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:rsidR="006A1D9E" w:rsidRDefault="00FD248A" w:rsidP="003938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Környezeti elemek védelme V-VI. (Sugárvédelem és Hulladékgazdálkodás)</w:t>
            </w:r>
            <w:r w:rsidR="006A1D9E" w:rsidRPr="0000235C">
              <w:rPr>
                <w:sz w:val="22"/>
                <w:szCs w:val="22"/>
              </w:rPr>
              <w:t xml:space="preserve"> </w:t>
            </w:r>
          </w:p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NEPTUN-kód: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:rsidR="006A1D9E" w:rsidRPr="005035AF" w:rsidRDefault="00FE2044" w:rsidP="0039381E">
            <w:pPr>
              <w:jc w:val="both"/>
              <w:rPr>
                <w:sz w:val="22"/>
                <w:szCs w:val="22"/>
              </w:rPr>
            </w:pPr>
            <w:r>
              <w:rPr>
                <w:color w:val="525659"/>
                <w:sz w:val="22"/>
                <w:szCs w:val="22"/>
                <w:shd w:val="clear" w:color="auto" w:fill="FFFFFF"/>
              </w:rPr>
              <w:t>RKXKE3MBL</w:t>
            </w:r>
            <w:r w:rsidR="005035AF" w:rsidRPr="005035AF">
              <w:rPr>
                <w:color w:val="525659"/>
                <w:sz w:val="22"/>
                <w:szCs w:val="22"/>
                <w:shd w:val="clear" w:color="auto" w:fill="FFFFFF"/>
              </w:rPr>
              <w:t>F</w:t>
            </w:r>
            <w:r w:rsidR="006A1D9E" w:rsidRPr="005035AF">
              <w:rPr>
                <w:sz w:val="22"/>
                <w:szCs w:val="22"/>
              </w:rPr>
              <w:t xml:space="preserve"> </w:t>
            </w:r>
          </w:p>
          <w:p w:rsidR="006A1D9E" w:rsidRPr="0000235C" w:rsidRDefault="006A1D9E" w:rsidP="005035AF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Óraszám:</w:t>
            </w:r>
            <w:r w:rsidRPr="0000235C">
              <w:rPr>
                <w:sz w:val="22"/>
                <w:szCs w:val="22"/>
              </w:rPr>
              <w:t xml:space="preserve"> </w:t>
            </w:r>
            <w:proofErr w:type="spellStart"/>
            <w:r w:rsidRPr="0000235C">
              <w:rPr>
                <w:sz w:val="22"/>
                <w:szCs w:val="22"/>
              </w:rPr>
              <w:t>ea+gy+lb</w:t>
            </w:r>
            <w:proofErr w:type="spellEnd"/>
            <w:r w:rsidRPr="0000235C">
              <w:rPr>
                <w:sz w:val="22"/>
                <w:szCs w:val="22"/>
              </w:rPr>
              <w:t xml:space="preserve"> </w:t>
            </w:r>
          </w:p>
          <w:p w:rsidR="00754756" w:rsidRPr="00F50215" w:rsidRDefault="00FE2044" w:rsidP="00754756">
            <w:pPr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754756" w:rsidRPr="00F50215">
              <w:rPr>
                <w:iCs/>
                <w:sz w:val="22"/>
                <w:szCs w:val="22"/>
              </w:rPr>
              <w:t>+</w:t>
            </w:r>
            <w:r>
              <w:rPr>
                <w:iCs/>
                <w:sz w:val="22"/>
                <w:szCs w:val="22"/>
              </w:rPr>
              <w:t>8</w:t>
            </w:r>
            <w:r w:rsidR="00754756" w:rsidRPr="00F50215">
              <w:rPr>
                <w:iCs/>
                <w:sz w:val="22"/>
                <w:szCs w:val="22"/>
              </w:rPr>
              <w:t>+0</w:t>
            </w:r>
          </w:p>
          <w:p w:rsidR="006A1D9E" w:rsidRPr="0000235C" w:rsidRDefault="006A1D9E" w:rsidP="00754756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Kredit:</w:t>
            </w:r>
            <w:r w:rsidRPr="0000235C">
              <w:rPr>
                <w:sz w:val="22"/>
                <w:szCs w:val="22"/>
              </w:rPr>
              <w:t xml:space="preserve"> </w:t>
            </w:r>
            <w:r w:rsidR="00DD613A">
              <w:rPr>
                <w:sz w:val="22"/>
                <w:szCs w:val="22"/>
              </w:rPr>
              <w:t>4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Köv.</w:t>
            </w:r>
            <w:r w:rsidR="00DD613A">
              <w:rPr>
                <w:sz w:val="22"/>
                <w:szCs w:val="22"/>
              </w:rPr>
              <w:t>: é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               </w:t>
            </w:r>
          </w:p>
        </w:tc>
      </w:tr>
      <w:tr w:rsidR="006A1D9E" w:rsidRPr="0000235C" w:rsidTr="0039381E"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Tantárgyfelelős: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Dr. Ágoston Csaba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 xml:space="preserve">Beosztás: 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:rsidR="006A1D9E" w:rsidRPr="0000235C" w:rsidRDefault="006A1D9E" w:rsidP="0039381E">
            <w:pPr>
              <w:jc w:val="both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egyetemi adjunktus  </w:t>
            </w:r>
          </w:p>
        </w:tc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 xml:space="preserve">Előkövetelmény: </w:t>
            </w:r>
            <w:r w:rsidRPr="0000235C">
              <w:rPr>
                <w:sz w:val="22"/>
                <w:szCs w:val="22"/>
              </w:rPr>
              <w:t xml:space="preserve"> </w:t>
            </w:r>
          </w:p>
          <w:p w:rsidR="006A1D9E" w:rsidRPr="0000235C" w:rsidRDefault="00754756" w:rsidP="003938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nincs</w:t>
            </w:r>
            <w:r w:rsidR="006A1D9E" w:rsidRPr="0000235C">
              <w:rPr>
                <w:sz w:val="22"/>
                <w:szCs w:val="22"/>
              </w:rPr>
              <w:t xml:space="preserve">  </w:t>
            </w:r>
          </w:p>
        </w:tc>
      </w:tr>
      <w:tr w:rsidR="006A1D9E" w:rsidRPr="0000235C" w:rsidTr="0039381E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Pr="0000235C" w:rsidRDefault="006A1D9E" w:rsidP="0039381E">
            <w:pPr>
              <w:jc w:val="center"/>
              <w:rPr>
                <w:sz w:val="22"/>
                <w:szCs w:val="22"/>
              </w:rPr>
            </w:pPr>
            <w:r w:rsidRPr="0000235C">
              <w:rPr>
                <w:b/>
                <w:bCs/>
                <w:sz w:val="22"/>
                <w:szCs w:val="22"/>
              </w:rPr>
              <w:t>Ismeretanyag leírása</w:t>
            </w:r>
          </w:p>
        </w:tc>
      </w:tr>
      <w:tr w:rsidR="006A1D9E" w:rsidRPr="0000235C" w:rsidTr="0039381E">
        <w:trPr>
          <w:trHeight w:val="161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D9E" w:rsidRDefault="006A1D9E" w:rsidP="0039381E">
            <w:pPr>
              <w:jc w:val="both"/>
              <w:rPr>
                <w:sz w:val="22"/>
                <w:szCs w:val="22"/>
              </w:rPr>
            </w:pPr>
          </w:p>
          <w:p w:rsidR="00754756" w:rsidRDefault="00754756" w:rsidP="00754756">
            <w:pPr>
              <w:spacing w:after="200" w:line="276" w:lineRule="auto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A tantárgy oktatási célja a Sugárvédelem és a Hulladékgazdálkodás alapjainak bemutatása. </w:t>
            </w:r>
            <w:r w:rsidRPr="00BD00C7">
              <w:rPr>
                <w:iCs/>
                <w:sz w:val="22"/>
                <w:szCs w:val="22"/>
              </w:rPr>
              <w:t xml:space="preserve">A </w:t>
            </w:r>
            <w:r>
              <w:rPr>
                <w:iCs/>
                <w:sz w:val="22"/>
                <w:szCs w:val="22"/>
              </w:rPr>
              <w:t xml:space="preserve">tantárgy Sugárvédelem c. </w:t>
            </w:r>
            <w:r w:rsidRPr="00BD00C7">
              <w:rPr>
                <w:iCs/>
                <w:sz w:val="22"/>
                <w:szCs w:val="22"/>
              </w:rPr>
              <w:t xml:space="preserve">részében kerülnek bemutatásra az ionizáló sugárzások, a radioaktivitás, a bomlási törvény, a természetes magátalakulások és magreakciók, valamint a sugárzás és </w:t>
            </w:r>
            <w:proofErr w:type="gramStart"/>
            <w:r w:rsidRPr="00BD00C7">
              <w:rPr>
                <w:iCs/>
                <w:sz w:val="22"/>
                <w:szCs w:val="22"/>
              </w:rPr>
              <w:t>kondenzált</w:t>
            </w:r>
            <w:proofErr w:type="gramEnd"/>
            <w:r w:rsidRPr="00BD00C7">
              <w:rPr>
                <w:iCs/>
                <w:sz w:val="22"/>
                <w:szCs w:val="22"/>
              </w:rPr>
              <w:t xml:space="preserve"> anyag kölcsönhatása. A gyakorlati részben a hallgatók megismerik a radioaktív részecskék </w:t>
            </w:r>
            <w:proofErr w:type="gramStart"/>
            <w:r w:rsidRPr="00BD00C7">
              <w:rPr>
                <w:iCs/>
                <w:sz w:val="22"/>
                <w:szCs w:val="22"/>
              </w:rPr>
              <w:t>detektálási</w:t>
            </w:r>
            <w:proofErr w:type="gramEnd"/>
            <w:r w:rsidRPr="00BD00C7">
              <w:rPr>
                <w:iCs/>
                <w:sz w:val="22"/>
                <w:szCs w:val="22"/>
              </w:rPr>
              <w:t xml:space="preserve"> módszereit, a dozimetriát, valamint a biológiai sugárhatás általános törvényszerűségeit. A tananyag részét képezi a természetes eredetű sugárterhelés, sugárforrások alkalmazásai, atomreaktorok, atomerőművek működésének megismertetése is. A megelőzés fontossága a sugár- és nukleáris balesetek környezeti hatásainak, a sugárvédelmi szabályzással és a sugárzás elleni védekezés fő módszereinek ismertetésével kap hangsúlyt. Bemutatásra kerül a Paksi Atomerőmű sugárvédelmi rendszere.</w:t>
            </w:r>
          </w:p>
          <w:p w:rsidR="006A1D9E" w:rsidRPr="0000235C" w:rsidRDefault="00754756" w:rsidP="00754756">
            <w:pPr>
              <w:jc w:val="both"/>
              <w:rPr>
                <w:sz w:val="22"/>
                <w:szCs w:val="22"/>
              </w:rPr>
            </w:pPr>
            <w:r w:rsidRPr="00F50215">
              <w:rPr>
                <w:iCs/>
                <w:sz w:val="22"/>
                <w:szCs w:val="22"/>
              </w:rPr>
              <w:t xml:space="preserve">A </w:t>
            </w:r>
            <w:r>
              <w:rPr>
                <w:iCs/>
                <w:sz w:val="22"/>
                <w:szCs w:val="22"/>
              </w:rPr>
              <w:t xml:space="preserve">Hulladékgazdálkodás témakör </w:t>
            </w:r>
            <w:r w:rsidRPr="00F50215">
              <w:rPr>
                <w:iCs/>
                <w:sz w:val="22"/>
                <w:szCs w:val="22"/>
              </w:rPr>
              <w:t xml:space="preserve">átfogó ismereteket nyújt a hulladék fogalmáról, fajtáiról, a keletkező hulladék mennyiségéről és összetételéről. Vizsgálja a különböző területeken (lakossági, mezőgazdasági, ipari stb.) keletkező hulladékok összetételét befolyásoló tényezőket, valamint a hulladékok környezeti hatásait és a hulladékgazdálkodással kapcsolatos fenntarthatósági elveket. Bemutatja az ennek kapcsán fontossá vált hulladékgazdálkodási tervet és készítésének lépéseit, valamint annak jogi hátterét. Részletezi a hulladékok gyűjtésének, átrakásának és szállításának technológiai folyamatát. Ismerteti a hulladékok ártalmatlanításának technológiai lehetőségeit, úgymint a rendezett lerakás, a termikus ártalmatlanítás, kémiai eljárások, illetve mechanikai-fizikai eljárások. A tananyag részét képezi a szilárd települési hulladékok, elhasznált (roncs) autók, elektronikai hulladékok, akkumulátor, gumi, műanyag, üveg, építési hulladék, csomagolási hulladékok és egyéb az ipari tevékenység során keletkező hulladékok hasznosításának, </w:t>
            </w:r>
            <w:proofErr w:type="spellStart"/>
            <w:r w:rsidRPr="00F50215">
              <w:rPr>
                <w:iCs/>
                <w:sz w:val="22"/>
                <w:szCs w:val="22"/>
              </w:rPr>
              <w:t>újrahasznosításának</w:t>
            </w:r>
            <w:proofErr w:type="spellEnd"/>
            <w:r w:rsidRPr="00F50215">
              <w:rPr>
                <w:iCs/>
                <w:sz w:val="22"/>
                <w:szCs w:val="22"/>
              </w:rPr>
              <w:t xml:space="preserve"> lehetőséges megoldásai és az ehhez szükséges előkészítési technológiák bemutatása is.</w:t>
            </w:r>
            <w:r w:rsidR="006A1D9E" w:rsidRPr="0000235C">
              <w:rPr>
                <w:sz w:val="22"/>
                <w:szCs w:val="22"/>
              </w:rPr>
              <w:t xml:space="preserve">    </w:t>
            </w:r>
          </w:p>
        </w:tc>
      </w:tr>
      <w:tr w:rsidR="006A1D9E" w:rsidRPr="0000235C" w:rsidTr="0039381E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9E" w:rsidRPr="0000235C" w:rsidRDefault="006A1D9E" w:rsidP="0039381E">
            <w:pPr>
              <w:spacing w:after="240"/>
              <w:jc w:val="center"/>
              <w:rPr>
                <w:rFonts w:eastAsia="Calibri"/>
                <w:iCs/>
                <w:sz w:val="22"/>
                <w:szCs w:val="22"/>
              </w:rPr>
            </w:pPr>
            <w:r w:rsidRPr="0000235C">
              <w:rPr>
                <w:b/>
                <w:sz w:val="22"/>
                <w:szCs w:val="22"/>
              </w:rPr>
              <w:t>A tárgy részletes leírása, ütemezés</w:t>
            </w:r>
          </w:p>
        </w:tc>
      </w:tr>
      <w:tr w:rsidR="006A1D9E" w:rsidRPr="005D6475" w:rsidTr="0039381E">
        <w:trPr>
          <w:trHeight w:val="25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9E" w:rsidRPr="005D6475" w:rsidRDefault="006A1D9E" w:rsidP="0039381E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6475">
              <w:rPr>
                <w:b/>
                <w:sz w:val="20"/>
                <w:szCs w:val="20"/>
              </w:rPr>
              <w:t>Oktatási hét</w:t>
            </w:r>
          </w:p>
        </w:tc>
        <w:tc>
          <w:tcPr>
            <w:tcW w:w="7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D9E" w:rsidRPr="005D6475" w:rsidRDefault="006A1D9E" w:rsidP="0039381E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5D6475">
              <w:rPr>
                <w:b/>
                <w:sz w:val="20"/>
                <w:szCs w:val="20"/>
              </w:rPr>
              <w:t>Előadások és gyakorlatok témakörei</w:t>
            </w:r>
          </w:p>
        </w:tc>
      </w:tr>
      <w:tr w:rsidR="0075198E" w:rsidRPr="009E7EDD" w:rsidTr="007D7707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8E" w:rsidRPr="0005444A" w:rsidRDefault="0075198E" w:rsidP="0075198E">
            <w:pPr>
              <w:pStyle w:val="Listaszerbekezds"/>
              <w:numPr>
                <w:ilvl w:val="0"/>
                <w:numId w:val="4"/>
              </w:numPr>
              <w:spacing w:after="24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8E" w:rsidRPr="00844F3F" w:rsidRDefault="0075198E" w:rsidP="0075198E">
            <w:pPr>
              <w:rPr>
                <w:sz w:val="22"/>
                <w:szCs w:val="22"/>
              </w:rPr>
            </w:pPr>
            <w:r w:rsidRPr="00844F3F">
              <w:rPr>
                <w:sz w:val="22"/>
                <w:szCs w:val="22"/>
              </w:rPr>
              <w:t xml:space="preserve">Hulladékok kezelése – alapfogalmak, csoportok, jellemzők. A körkörös gazdaság </w:t>
            </w:r>
            <w:proofErr w:type="gramStart"/>
            <w:r w:rsidRPr="00844F3F">
              <w:rPr>
                <w:sz w:val="22"/>
                <w:szCs w:val="22"/>
              </w:rPr>
              <w:t>koncepciója</w:t>
            </w:r>
            <w:proofErr w:type="gramEnd"/>
            <w:r w:rsidRPr="00844F3F">
              <w:rPr>
                <w:sz w:val="22"/>
                <w:szCs w:val="22"/>
              </w:rPr>
              <w:t>. A hulladékgazdálkodási modellek, a hulladékgazdálkodás mutatói, anyagforgalmi diagram</w:t>
            </w:r>
            <w:r w:rsidR="00D97683" w:rsidRPr="00844F3F">
              <w:rPr>
                <w:sz w:val="22"/>
                <w:szCs w:val="22"/>
              </w:rPr>
              <w:t xml:space="preserve">. Települési szilárd hulladékok, termelési hulladékok jellemzői, összetétele, mennyisége. Hulladékgyűjtés és a települési szilárd hulladékok szelektív kezelésének módszerei. Hulladékok szállításának technológiai folyamata. Hulladékok előkezelése- fizikai, kémiai eljárások. </w:t>
            </w:r>
            <w:proofErr w:type="gramStart"/>
            <w:r w:rsidR="00D97683" w:rsidRPr="00844F3F">
              <w:rPr>
                <w:sz w:val="22"/>
                <w:szCs w:val="22"/>
              </w:rPr>
              <w:t>Komponens</w:t>
            </w:r>
            <w:proofErr w:type="gramEnd"/>
            <w:r w:rsidR="00D97683" w:rsidRPr="00844F3F">
              <w:rPr>
                <w:sz w:val="22"/>
                <w:szCs w:val="22"/>
              </w:rPr>
              <w:t xml:space="preserve"> szétválasztási eljárások. Hulladékok ártalmatlanítása, hasznosítása – aerob hulladékkezelés. Anaerob hulladékkezelési eljárások</w:t>
            </w:r>
          </w:p>
        </w:tc>
      </w:tr>
      <w:tr w:rsidR="0075198E" w:rsidRPr="009E7EDD" w:rsidTr="00003B2C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8E" w:rsidRPr="009E7EDD" w:rsidRDefault="0075198E" w:rsidP="0005444A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003B2C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7868" w:type="dxa"/>
            <w:gridSpan w:val="4"/>
            <w:shd w:val="clear" w:color="auto" w:fill="auto"/>
            <w:vAlign w:val="bottom"/>
          </w:tcPr>
          <w:p w:rsidR="0075198E" w:rsidRPr="00844F3F" w:rsidRDefault="00D97683" w:rsidP="0075198E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 w:rsidRPr="00844F3F">
              <w:rPr>
                <w:sz w:val="22"/>
                <w:szCs w:val="22"/>
              </w:rPr>
              <w:t>Hulladékok termikus kezelésének eljárásai, RDF, SRF. Hulladéklerakás. Csomagolási hulladékok - a kiterjesztett gyártói felelősség fogalma (EPR)</w:t>
            </w:r>
            <w:r w:rsidR="0005444A">
              <w:rPr>
                <w:sz w:val="22"/>
                <w:szCs w:val="22"/>
              </w:rPr>
              <w:t>, a DRS rendszer</w:t>
            </w:r>
            <w:r w:rsidRPr="00844F3F">
              <w:rPr>
                <w:sz w:val="22"/>
                <w:szCs w:val="22"/>
              </w:rPr>
              <w:t>. Hulladékhasznosítás - gumi, műanyag, üveg, építési hulladékok hasznosítási lehetőségei és a Hulladékgazdálkodási terv.</w:t>
            </w:r>
          </w:p>
        </w:tc>
      </w:tr>
      <w:tr w:rsidR="0075198E" w:rsidRPr="009E7EDD" w:rsidTr="00003B2C">
        <w:trPr>
          <w:trHeight w:val="1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8E" w:rsidRPr="009E7EDD" w:rsidRDefault="0075198E" w:rsidP="0005444A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7868" w:type="dxa"/>
            <w:gridSpan w:val="4"/>
            <w:shd w:val="clear" w:color="auto" w:fill="auto"/>
            <w:vAlign w:val="bottom"/>
          </w:tcPr>
          <w:p w:rsidR="0075198E" w:rsidRPr="00844F3F" w:rsidRDefault="00D97683" w:rsidP="0075198E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 w:rsidRPr="00844F3F">
              <w:rPr>
                <w:sz w:val="22"/>
                <w:szCs w:val="22"/>
              </w:rPr>
              <w:t xml:space="preserve">Elektromágneses sugárzás. Az atommag alapvető tulajdonságai. </w:t>
            </w:r>
            <w:proofErr w:type="spellStart"/>
            <w:r w:rsidRPr="00844F3F">
              <w:rPr>
                <w:sz w:val="22"/>
                <w:szCs w:val="22"/>
              </w:rPr>
              <w:t>Magerők</w:t>
            </w:r>
            <w:proofErr w:type="spellEnd"/>
            <w:r w:rsidRPr="00844F3F">
              <w:rPr>
                <w:sz w:val="22"/>
                <w:szCs w:val="22"/>
              </w:rPr>
              <w:t xml:space="preserve">, kötési energia. A radioaktív bomlás törvényszerűségei. Természetes magátalakulások. A </w:t>
            </w:r>
            <w:r w:rsidRPr="00844F3F">
              <w:rPr>
                <w:sz w:val="22"/>
                <w:szCs w:val="22"/>
              </w:rPr>
              <w:lastRenderedPageBreak/>
              <w:t xml:space="preserve">sugárzás és az anyag kölcsönhatása. Sugárzások </w:t>
            </w:r>
            <w:proofErr w:type="gramStart"/>
            <w:r w:rsidRPr="00844F3F">
              <w:rPr>
                <w:sz w:val="22"/>
                <w:szCs w:val="22"/>
              </w:rPr>
              <w:t>detektálása</w:t>
            </w:r>
            <w:proofErr w:type="gramEnd"/>
            <w:r w:rsidRPr="00844F3F">
              <w:rPr>
                <w:sz w:val="22"/>
                <w:szCs w:val="22"/>
              </w:rPr>
              <w:t>. Dozimetria. Jogszabályi háttér. Mérőeszközök, mérési módszerek.</w:t>
            </w:r>
          </w:p>
        </w:tc>
      </w:tr>
      <w:tr w:rsidR="0075198E" w:rsidRPr="009E7EDD" w:rsidTr="0039381E">
        <w:trPr>
          <w:trHeight w:val="62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98E" w:rsidRPr="009E7EDD" w:rsidRDefault="0075198E" w:rsidP="00D97683">
            <w:pPr>
              <w:spacing w:after="240"/>
              <w:jc w:val="center"/>
              <w:rPr>
                <w:bCs/>
                <w:sz w:val="20"/>
                <w:szCs w:val="20"/>
              </w:rPr>
            </w:pPr>
            <w:r w:rsidRPr="009E7EDD">
              <w:rPr>
                <w:bCs/>
                <w:sz w:val="20"/>
                <w:szCs w:val="20"/>
              </w:rPr>
              <w:lastRenderedPageBreak/>
              <w:t>4.</w:t>
            </w:r>
          </w:p>
        </w:tc>
        <w:tc>
          <w:tcPr>
            <w:tcW w:w="7868" w:type="dxa"/>
            <w:gridSpan w:val="4"/>
            <w:shd w:val="clear" w:color="auto" w:fill="auto"/>
            <w:vAlign w:val="bottom"/>
          </w:tcPr>
          <w:p w:rsidR="0075198E" w:rsidRPr="00844F3F" w:rsidRDefault="00D97683" w:rsidP="0075198E">
            <w:pPr>
              <w:spacing w:after="240"/>
              <w:jc w:val="both"/>
              <w:rPr>
                <w:rFonts w:eastAsia="Arial"/>
                <w:sz w:val="22"/>
                <w:szCs w:val="22"/>
              </w:rPr>
            </w:pPr>
            <w:r w:rsidRPr="00844F3F">
              <w:rPr>
                <w:rFonts w:eastAsia="Arial"/>
                <w:b/>
                <w:sz w:val="22"/>
                <w:szCs w:val="22"/>
              </w:rPr>
              <w:t xml:space="preserve">Zárthelyi dolgozat. </w:t>
            </w:r>
            <w:r w:rsidRPr="00844F3F">
              <w:rPr>
                <w:sz w:val="22"/>
                <w:szCs w:val="22"/>
              </w:rPr>
              <w:t>Radon a környezetben. A természetes eredetű sugárterhelés.</w:t>
            </w:r>
            <w:r w:rsidRPr="00844F3F">
              <w:rPr>
                <w:b/>
                <w:sz w:val="22"/>
                <w:szCs w:val="22"/>
              </w:rPr>
              <w:t xml:space="preserve"> </w:t>
            </w:r>
            <w:r w:rsidRPr="00844F3F">
              <w:rPr>
                <w:sz w:val="22"/>
                <w:szCs w:val="22"/>
              </w:rPr>
              <w:t>Radiokarbon kormeghatározás. Atomenergia hasznosítása, atomerőművek környezeti hatásai, balesetek. A mesterséges eredetű sugárterhelés. Radioaktív hulladékok elhelyezésének kérdései. Radioaktív hulladékok kezelése. Sugárvédelmi szabályozás.</w:t>
            </w:r>
          </w:p>
        </w:tc>
      </w:tr>
      <w:tr w:rsidR="0075198E" w:rsidRPr="0000235C" w:rsidTr="0039381E">
        <w:trPr>
          <w:trHeight w:val="257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198E" w:rsidRPr="0000235C" w:rsidRDefault="0075198E" w:rsidP="0075198E">
            <w:pPr>
              <w:spacing w:after="24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00235C">
              <w:rPr>
                <w:rFonts w:eastAsia="Arial Unicode MS"/>
                <w:b/>
                <w:sz w:val="22"/>
                <w:szCs w:val="22"/>
              </w:rPr>
              <w:t>Félévközi követelmények</w:t>
            </w:r>
          </w:p>
        </w:tc>
      </w:tr>
      <w:tr w:rsidR="0075198E" w:rsidRPr="0000235C" w:rsidTr="0039381E">
        <w:trPr>
          <w:trHeight w:val="150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198E" w:rsidRPr="0000235C" w:rsidRDefault="0075198E" w:rsidP="0075198E">
            <w:pPr>
              <w:spacing w:after="240"/>
              <w:rPr>
                <w:rFonts w:eastAsia="Arial Unicode MS"/>
                <w:i/>
                <w:iCs/>
                <w:sz w:val="22"/>
                <w:szCs w:val="22"/>
              </w:rPr>
            </w:pPr>
            <w:r w:rsidRPr="0000235C">
              <w:rPr>
                <w:rFonts w:eastAsia="Arial Unicode MS"/>
                <w:i/>
                <w:iCs/>
                <w:sz w:val="22"/>
                <w:szCs w:val="22"/>
              </w:rPr>
              <w:t>Foglalkozásokon való részvétel:</w:t>
            </w:r>
          </w:p>
          <w:p w:rsidR="0075198E" w:rsidRPr="00D97683" w:rsidRDefault="0075198E" w:rsidP="0075198E">
            <w:pPr>
              <w:spacing w:after="240"/>
              <w:rPr>
                <w:rFonts w:eastAsia="Arial Unicode MS"/>
                <w:b/>
                <w:bCs/>
                <w:sz w:val="22"/>
                <w:szCs w:val="22"/>
              </w:rPr>
            </w:pPr>
            <w:r w:rsidRPr="0000235C">
              <w:rPr>
                <w:rFonts w:eastAsia="Arial"/>
                <w:sz w:val="22"/>
                <w:szCs w:val="22"/>
              </w:rPr>
              <w:t xml:space="preserve">Az előadások és a gyakorlatok lehetőség szerint személyes jelenléttel lesznek megtartva. </w:t>
            </w:r>
            <w:proofErr w:type="gramStart"/>
            <w:r w:rsidRPr="0000235C">
              <w:rPr>
                <w:rFonts w:eastAsia="Arial"/>
                <w:sz w:val="22"/>
                <w:szCs w:val="22"/>
              </w:rPr>
              <w:t>Amennyivel</w:t>
            </w:r>
            <w:proofErr w:type="gramEnd"/>
            <w:r w:rsidRPr="0000235C">
              <w:rPr>
                <w:rFonts w:eastAsia="Arial"/>
                <w:sz w:val="22"/>
                <w:szCs w:val="22"/>
              </w:rPr>
              <w:t xml:space="preserve"> a személyes jelenléttel történő oktatás nem lehetséges valós időben, </w:t>
            </w:r>
            <w:proofErr w:type="spellStart"/>
            <w:r w:rsidRPr="0000235C">
              <w:rPr>
                <w:rFonts w:eastAsia="Arial"/>
                <w:sz w:val="22"/>
                <w:szCs w:val="22"/>
              </w:rPr>
              <w:t>teams</w:t>
            </w:r>
            <w:proofErr w:type="spellEnd"/>
            <w:r w:rsidRPr="0000235C">
              <w:rPr>
                <w:rFonts w:eastAsia="Arial"/>
                <w:sz w:val="22"/>
                <w:szCs w:val="22"/>
              </w:rPr>
              <w:t xml:space="preserve"> programban zajlik az oktatás.  Ezeken a jelenlét kötelező. Ha a hiányzások meghaladják a Tanulmányi </w:t>
            </w:r>
            <w:r>
              <w:rPr>
                <w:rFonts w:eastAsia="Arial"/>
                <w:sz w:val="22"/>
                <w:szCs w:val="22"/>
              </w:rPr>
              <w:t>Ügyrendben</w:t>
            </w:r>
            <w:r w:rsidRPr="0000235C">
              <w:rPr>
                <w:rFonts w:eastAsia="Arial"/>
                <w:sz w:val="22"/>
                <w:szCs w:val="22"/>
              </w:rPr>
              <w:t xml:space="preserve"> (továbbiakban: </w:t>
            </w:r>
            <w:r>
              <w:rPr>
                <w:rFonts w:eastAsia="Arial"/>
                <w:sz w:val="22"/>
                <w:szCs w:val="22"/>
              </w:rPr>
              <w:t>TÜ</w:t>
            </w:r>
            <w:r w:rsidRPr="0000235C">
              <w:rPr>
                <w:rFonts w:eastAsia="Arial"/>
                <w:sz w:val="22"/>
                <w:szCs w:val="22"/>
              </w:rPr>
              <w:t>) rögzített értékeket, a hallgató letiltást kap.</w:t>
            </w:r>
          </w:p>
        </w:tc>
      </w:tr>
      <w:tr w:rsidR="0075198E" w:rsidRPr="0000235C" w:rsidTr="0039381E">
        <w:trPr>
          <w:trHeight w:val="176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198E" w:rsidRPr="0000235C" w:rsidRDefault="0075198E" w:rsidP="0075198E">
            <w:pPr>
              <w:spacing w:after="240"/>
              <w:rPr>
                <w:rFonts w:eastAsia="Arial Unicode MS"/>
                <w:i/>
                <w:iCs/>
                <w:sz w:val="22"/>
                <w:szCs w:val="22"/>
              </w:rPr>
            </w:pPr>
            <w:r w:rsidRPr="0000235C">
              <w:rPr>
                <w:rFonts w:eastAsia="Arial Unicode MS"/>
                <w:i/>
                <w:iCs/>
                <w:sz w:val="22"/>
                <w:szCs w:val="22"/>
              </w:rPr>
              <w:t>Zárthelyik, jegyzőkönyvek, beszámolók stb.</w:t>
            </w:r>
          </w:p>
          <w:p w:rsidR="00D97683" w:rsidRPr="0000235C" w:rsidRDefault="00D97683" w:rsidP="00D97683">
            <w:pPr>
              <w:tabs>
                <w:tab w:val="left" w:pos="720"/>
              </w:tabs>
              <w:spacing w:after="240"/>
              <w:rPr>
                <w:rFonts w:eastAsia="Arial"/>
                <w:sz w:val="22"/>
                <w:szCs w:val="22"/>
              </w:rPr>
            </w:pPr>
            <w:r w:rsidRPr="0000235C">
              <w:rPr>
                <w:rFonts w:eastAsia="Arial"/>
                <w:sz w:val="22"/>
                <w:szCs w:val="22"/>
              </w:rPr>
              <w:t xml:space="preserve">A hallgatóknak a félévközi időszakban </w:t>
            </w:r>
            <w:r>
              <w:rPr>
                <w:rFonts w:eastAsia="Arial"/>
                <w:sz w:val="22"/>
                <w:szCs w:val="22"/>
              </w:rPr>
              <w:t>egy</w:t>
            </w:r>
            <w:r w:rsidRPr="0000235C">
              <w:rPr>
                <w:rFonts w:eastAsia="Arial"/>
                <w:sz w:val="22"/>
                <w:szCs w:val="22"/>
              </w:rPr>
              <w:t xml:space="preserve"> zárthelyi dolgozat megírására van lehetőségük. A zárthelyin a megszerezhető pontok minimum 50%-át el kell elérni. Sikertelen zárthelyi</w:t>
            </w:r>
            <w:r>
              <w:rPr>
                <w:rFonts w:eastAsia="Arial"/>
                <w:sz w:val="22"/>
                <w:szCs w:val="22"/>
              </w:rPr>
              <w:t xml:space="preserve"> esetén a hallgatónak egy</w:t>
            </w:r>
            <w:r w:rsidRPr="0000235C">
              <w:rPr>
                <w:rFonts w:eastAsia="Arial"/>
                <w:sz w:val="22"/>
                <w:szCs w:val="22"/>
              </w:rPr>
              <w:t xml:space="preserve"> pót-zárthelyi megírására van lehetősége.</w:t>
            </w:r>
          </w:p>
          <w:p w:rsidR="0075198E" w:rsidRPr="0000235C" w:rsidRDefault="00D97683" w:rsidP="00D97683">
            <w:pPr>
              <w:rPr>
                <w:sz w:val="22"/>
                <w:szCs w:val="22"/>
              </w:rPr>
            </w:pPr>
            <w:r w:rsidRPr="0000235C">
              <w:rPr>
                <w:rFonts w:eastAsia="Arial"/>
                <w:sz w:val="22"/>
                <w:szCs w:val="22"/>
              </w:rPr>
              <w:t xml:space="preserve">Amennyiben a pót-zárthelyik is sikertelenek, úgy a </w:t>
            </w:r>
            <w:r>
              <w:rPr>
                <w:rFonts w:eastAsia="Arial"/>
                <w:sz w:val="22"/>
                <w:szCs w:val="22"/>
              </w:rPr>
              <w:t>TÜ</w:t>
            </w:r>
            <w:r w:rsidRPr="0000235C">
              <w:rPr>
                <w:rFonts w:eastAsia="Arial"/>
                <w:sz w:val="22"/>
                <w:szCs w:val="22"/>
              </w:rPr>
              <w:t xml:space="preserve"> szerint nyílik lehetőség a pótlásra.</w:t>
            </w:r>
          </w:p>
        </w:tc>
      </w:tr>
      <w:tr w:rsidR="0075198E" w:rsidRPr="0000235C" w:rsidTr="0039381E">
        <w:trPr>
          <w:trHeight w:val="1502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198E" w:rsidRPr="0000235C" w:rsidRDefault="0075198E" w:rsidP="0075198E">
            <w:pPr>
              <w:spacing w:after="240"/>
              <w:rPr>
                <w:rFonts w:eastAsia="Arial Unicode MS"/>
                <w:i/>
                <w:iCs/>
                <w:sz w:val="22"/>
                <w:szCs w:val="22"/>
              </w:rPr>
            </w:pPr>
            <w:r w:rsidRPr="0000235C">
              <w:rPr>
                <w:rFonts w:eastAsia="Arial Unicode MS"/>
                <w:i/>
                <w:iCs/>
                <w:sz w:val="22"/>
                <w:szCs w:val="22"/>
              </w:rPr>
              <w:t>Az aláírás megszerzésének követelményei:</w:t>
            </w:r>
          </w:p>
          <w:p w:rsidR="0075198E" w:rsidRPr="0000235C" w:rsidRDefault="0075198E" w:rsidP="0075198E">
            <w:pPr>
              <w:spacing w:after="240"/>
              <w:rPr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>Félévközi ZH-k értékelése: 0-49 pont: elégtelen; 50-65 pont elégséges; 66-79 pont közepes; 80-91 pont jó; 92-100 pont jeles.</w:t>
            </w:r>
          </w:p>
          <w:p w:rsidR="0075198E" w:rsidRPr="0000235C" w:rsidRDefault="0075198E" w:rsidP="0075198E">
            <w:pPr>
              <w:spacing w:after="240"/>
              <w:rPr>
                <w:rFonts w:eastAsia="Arial Unicode MS"/>
                <w:sz w:val="22"/>
                <w:szCs w:val="22"/>
              </w:rPr>
            </w:pPr>
            <w:r w:rsidRPr="0000235C">
              <w:rPr>
                <w:sz w:val="22"/>
                <w:szCs w:val="22"/>
              </w:rPr>
              <w:t xml:space="preserve">Amennyiben a pót </w:t>
            </w:r>
            <w:proofErr w:type="spellStart"/>
            <w:r w:rsidRPr="0000235C">
              <w:rPr>
                <w:sz w:val="22"/>
                <w:szCs w:val="22"/>
              </w:rPr>
              <w:t>zh</w:t>
            </w:r>
            <w:proofErr w:type="spellEnd"/>
            <w:r w:rsidRPr="0000235C">
              <w:rPr>
                <w:sz w:val="22"/>
                <w:szCs w:val="22"/>
              </w:rPr>
              <w:t>. is eredménytelen, a T</w:t>
            </w:r>
            <w:r>
              <w:rPr>
                <w:sz w:val="22"/>
                <w:szCs w:val="22"/>
              </w:rPr>
              <w:t>Ü</w:t>
            </w:r>
            <w:r w:rsidRPr="0000235C">
              <w:rPr>
                <w:sz w:val="22"/>
                <w:szCs w:val="22"/>
              </w:rPr>
              <w:t>-ben foglaltak szerint nyílik lehetőség a javításra.</w:t>
            </w:r>
          </w:p>
        </w:tc>
      </w:tr>
      <w:tr w:rsidR="0075198E" w:rsidRPr="0000235C" w:rsidTr="0039381E">
        <w:trPr>
          <w:trHeight w:val="273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8E" w:rsidRPr="0000235C" w:rsidRDefault="0075198E" w:rsidP="0075198E">
            <w:pPr>
              <w:spacing w:after="240"/>
              <w:jc w:val="center"/>
              <w:rPr>
                <w:rFonts w:eastAsia="Calibri"/>
                <w:b/>
                <w:iCs/>
                <w:sz w:val="22"/>
                <w:szCs w:val="22"/>
              </w:rPr>
            </w:pPr>
            <w:r w:rsidRPr="0000235C">
              <w:rPr>
                <w:rFonts w:eastAsia="Calibri"/>
                <w:b/>
                <w:iCs/>
                <w:sz w:val="22"/>
                <w:szCs w:val="22"/>
              </w:rPr>
              <w:t xml:space="preserve">Az elsajátítandó szakmai </w:t>
            </w:r>
            <w:proofErr w:type="gramStart"/>
            <w:r w:rsidRPr="0000235C">
              <w:rPr>
                <w:rFonts w:eastAsia="Calibri"/>
                <w:b/>
                <w:iCs/>
                <w:sz w:val="22"/>
                <w:szCs w:val="22"/>
              </w:rPr>
              <w:t>kompetenciák</w:t>
            </w:r>
            <w:proofErr w:type="gramEnd"/>
          </w:p>
        </w:tc>
      </w:tr>
      <w:tr w:rsidR="0075198E" w:rsidRPr="0000235C" w:rsidTr="0039381E">
        <w:trPr>
          <w:trHeight w:val="1610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8E" w:rsidRPr="0000235C" w:rsidRDefault="0075198E" w:rsidP="0075198E">
            <w:pPr>
              <w:pStyle w:val="Listaszerbekezds"/>
              <w:ind w:left="720"/>
              <w:contextualSpacing/>
              <w:rPr>
                <w:sz w:val="22"/>
                <w:szCs w:val="22"/>
              </w:rPr>
            </w:pPr>
          </w:p>
          <w:p w:rsidR="0075198E" w:rsidRPr="00BA70A4" w:rsidRDefault="0075198E" w:rsidP="0075198E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Ismeri a környezetvédelmi szakterület műveléséhez szükséges általános és specifikus matematikai, természet– és társadalomtudományi elveket, szabályokat, összefüggéseket.</w:t>
            </w:r>
          </w:p>
          <w:p w:rsidR="0075198E" w:rsidRPr="00BA70A4" w:rsidRDefault="0075198E" w:rsidP="0075198E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Képes víz-, talaj-, levegő-, sugár- és zajvédelmi, valamint hulladékkezelési és feldolgozási feladatok javaslat szintű megoldására, döntés előkészítésben való részvételre, hatósági ellenőrzésre és e technológiák üzemeltetésében részt venni.</w:t>
            </w:r>
          </w:p>
          <w:p w:rsidR="0075198E" w:rsidRPr="00BA70A4" w:rsidRDefault="0075198E" w:rsidP="0075198E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Képes arra, hogy szakmailag szóban és írásban anyanyelvén és legalább egy idegen nyelven kommunikáljon és szakmai tudását igény szerint folyamatosan fejlessze.</w:t>
            </w:r>
          </w:p>
          <w:p w:rsidR="0075198E" w:rsidRPr="00BA70A4" w:rsidRDefault="0075198E" w:rsidP="0075198E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Képes környezetvédelmi megbízotti feladatok ellátására.</w:t>
            </w:r>
          </w:p>
          <w:p w:rsidR="0075198E" w:rsidRPr="00BA70A4" w:rsidRDefault="0075198E" w:rsidP="0075198E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Együttműködik a környezetvédelemmel foglalkozó társadalmi szervezetekkel, de vitaképes az optimális megoldások kidolgozása érdekében.</w:t>
            </w:r>
          </w:p>
          <w:p w:rsidR="0075198E" w:rsidRPr="00BA70A4" w:rsidRDefault="0075198E" w:rsidP="0075198E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Nyitott a szakmájához kapcsolódó, de más területen tevékenykedő szakemberekkel való szakmai együttműködésre.</w:t>
            </w:r>
          </w:p>
          <w:p w:rsidR="0075198E" w:rsidRPr="00BA70A4" w:rsidRDefault="0075198E" w:rsidP="0075198E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Törekszik arra, hogy önképzéssel a tudását folyamatos fejlessze és világról szerzett tudását frissen tartsa.</w:t>
            </w:r>
          </w:p>
          <w:p w:rsidR="0075198E" w:rsidRDefault="0075198E" w:rsidP="0075198E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BA70A4">
              <w:rPr>
                <w:rFonts w:cs="Tahoma"/>
                <w:iCs/>
                <w:color w:val="000000"/>
                <w:sz w:val="22"/>
                <w:szCs w:val="22"/>
              </w:rPr>
              <w:t>Felelősséggel vallja és képviseli a mérnöki szakma értékrendjét, nyitottan fogadja a szakmailag megalapozott kritikai észrevételeket.</w:t>
            </w:r>
          </w:p>
          <w:p w:rsidR="0075198E" w:rsidRPr="00F50215" w:rsidRDefault="0075198E" w:rsidP="0075198E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50215">
              <w:rPr>
                <w:rFonts w:cs="Tahoma"/>
                <w:iCs/>
                <w:color w:val="000000"/>
                <w:sz w:val="22"/>
                <w:szCs w:val="22"/>
              </w:rPr>
              <w:t>Átfogóan ismeri a környezeti elemek és rendszerek alapvető jellemzőit, összefüggéseit és az azokra ható környezetkárosító anyagokat.</w:t>
            </w:r>
          </w:p>
          <w:p w:rsidR="0075198E" w:rsidRPr="00F50215" w:rsidRDefault="0075198E" w:rsidP="0075198E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50215">
              <w:rPr>
                <w:rFonts w:cs="Tahoma"/>
                <w:iCs/>
                <w:color w:val="000000"/>
                <w:sz w:val="22"/>
                <w:szCs w:val="22"/>
              </w:rPr>
              <w:t>Ismeri a főbb környezetvédelmi célú technológiákat, a technológiához kapcsolható berendezéseket, műtárgyakat és azok működését, üzemeltetését.</w:t>
            </w:r>
          </w:p>
          <w:p w:rsidR="0075198E" w:rsidRPr="00F50215" w:rsidRDefault="0075198E" w:rsidP="0075198E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50215">
              <w:rPr>
                <w:rFonts w:cs="Tahoma"/>
                <w:iCs/>
                <w:color w:val="000000"/>
                <w:sz w:val="22"/>
                <w:szCs w:val="22"/>
              </w:rPr>
              <w:t>Képes a környezeti elemek és rendszerek korszerű mérőeszközökkel történő mennyiségi és minőségi jellemzőinek alapfokú vizsgálatára, mérési tervek összeállítására, azok kivitelezésére és az adatok értékelésére.</w:t>
            </w:r>
          </w:p>
          <w:p w:rsidR="0075198E" w:rsidRPr="00F50215" w:rsidRDefault="0075198E" w:rsidP="0075198E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50215">
              <w:rPr>
                <w:rFonts w:cs="Tahoma"/>
                <w:iCs/>
                <w:color w:val="000000"/>
                <w:sz w:val="22"/>
                <w:szCs w:val="22"/>
              </w:rPr>
              <w:t>Szakmai gyakorlatot követően képes vezetői feladatokat ellátni.</w:t>
            </w:r>
          </w:p>
          <w:p w:rsidR="0075198E" w:rsidRPr="00F50215" w:rsidRDefault="0075198E" w:rsidP="0075198E">
            <w:pPr>
              <w:contextualSpacing/>
              <w:jc w:val="both"/>
              <w:rPr>
                <w:rFonts w:cs="Tahoma"/>
                <w:iCs/>
                <w:color w:val="000000"/>
                <w:sz w:val="22"/>
                <w:szCs w:val="22"/>
              </w:rPr>
            </w:pPr>
            <w:r w:rsidRPr="00F50215">
              <w:rPr>
                <w:rFonts w:cs="Tahoma"/>
                <w:iCs/>
                <w:color w:val="000000"/>
                <w:sz w:val="22"/>
                <w:szCs w:val="22"/>
              </w:rPr>
              <w:t>Képes feltárni az alkalmazott technológiák hiányosságait, a folyamatok kockázatait és kezdeményezi az ezeket csökkentő intézkedések megtételét.</w:t>
            </w:r>
          </w:p>
          <w:p w:rsidR="0075198E" w:rsidRPr="00754756" w:rsidRDefault="0075198E" w:rsidP="0075198E">
            <w:pPr>
              <w:contextualSpacing/>
              <w:rPr>
                <w:sz w:val="22"/>
                <w:szCs w:val="22"/>
              </w:rPr>
            </w:pPr>
            <w:r w:rsidRPr="00754756">
              <w:rPr>
                <w:rFonts w:cs="Tahoma"/>
                <w:iCs/>
                <w:color w:val="000000"/>
                <w:sz w:val="22"/>
                <w:szCs w:val="22"/>
              </w:rPr>
              <w:t>Szervezett továbbképzésen való részvétellel a környezetvédelem területén tudását folyamatosan tovább fejleszti.</w:t>
            </w:r>
            <w:r w:rsidRPr="0075475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54756">
              <w:rPr>
                <w:sz w:val="22"/>
                <w:szCs w:val="22"/>
              </w:rPr>
              <w:t xml:space="preserve"> </w:t>
            </w:r>
          </w:p>
        </w:tc>
      </w:tr>
      <w:tr w:rsidR="0075198E" w:rsidRPr="0000235C" w:rsidTr="0039381E"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98E" w:rsidRPr="0000235C" w:rsidRDefault="0075198E" w:rsidP="0075198E">
            <w:pPr>
              <w:jc w:val="center"/>
              <w:rPr>
                <w:b/>
                <w:iCs/>
                <w:sz w:val="22"/>
                <w:szCs w:val="22"/>
              </w:rPr>
            </w:pPr>
            <w:r w:rsidRPr="0000235C">
              <w:rPr>
                <w:b/>
                <w:iCs/>
                <w:sz w:val="22"/>
                <w:szCs w:val="22"/>
              </w:rPr>
              <w:t>Irodalom</w:t>
            </w:r>
          </w:p>
        </w:tc>
      </w:tr>
      <w:tr w:rsidR="0075198E" w:rsidRPr="0000235C" w:rsidTr="0039381E">
        <w:trPr>
          <w:trHeight w:val="848"/>
        </w:trPr>
        <w:tc>
          <w:tcPr>
            <w:tcW w:w="88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98E" w:rsidRDefault="0075198E" w:rsidP="0075198E">
            <w:pPr>
              <w:pStyle w:val="Listaszerbekezds"/>
              <w:ind w:left="720"/>
              <w:rPr>
                <w:sz w:val="22"/>
                <w:szCs w:val="22"/>
              </w:rPr>
            </w:pPr>
          </w:p>
          <w:p w:rsidR="0005444A" w:rsidRDefault="0005444A" w:rsidP="0075198E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Előadások anyagai moodle-ban</w:t>
            </w:r>
            <w:bookmarkStart w:id="0" w:name="_GoBack"/>
            <w:bookmarkEnd w:id="0"/>
          </w:p>
          <w:p w:rsidR="0075198E" w:rsidRPr="00BA70A4" w:rsidRDefault="0075198E" w:rsidP="0075198E">
            <w:pPr>
              <w:rPr>
                <w:iCs/>
                <w:sz w:val="22"/>
                <w:szCs w:val="22"/>
              </w:rPr>
            </w:pPr>
            <w:r w:rsidRPr="00BA70A4">
              <w:rPr>
                <w:iCs/>
                <w:sz w:val="22"/>
                <w:szCs w:val="22"/>
              </w:rPr>
              <w:t>Deme S</w:t>
            </w:r>
            <w:proofErr w:type="gramStart"/>
            <w:r w:rsidRPr="00BA70A4">
              <w:rPr>
                <w:iCs/>
                <w:sz w:val="22"/>
                <w:szCs w:val="22"/>
              </w:rPr>
              <w:t>.,</w:t>
            </w:r>
            <w:proofErr w:type="gramEnd"/>
            <w:r w:rsidRPr="00BA70A4">
              <w:rPr>
                <w:iCs/>
                <w:sz w:val="22"/>
                <w:szCs w:val="22"/>
              </w:rPr>
              <w:t xml:space="preserve"> Fehér I. (</w:t>
            </w:r>
            <w:proofErr w:type="spellStart"/>
            <w:r w:rsidRPr="00BA70A4">
              <w:rPr>
                <w:iCs/>
                <w:sz w:val="22"/>
                <w:szCs w:val="22"/>
              </w:rPr>
              <w:t>szerk</w:t>
            </w:r>
            <w:proofErr w:type="spellEnd"/>
            <w:r w:rsidRPr="00BA70A4">
              <w:rPr>
                <w:iCs/>
                <w:sz w:val="22"/>
                <w:szCs w:val="22"/>
              </w:rPr>
              <w:t>.).: Sugárvédelem. ELTE Eötvös Kiadó, 2010</w:t>
            </w:r>
          </w:p>
          <w:p w:rsidR="0075198E" w:rsidRPr="00BA70A4" w:rsidRDefault="0075198E" w:rsidP="0075198E">
            <w:pPr>
              <w:rPr>
                <w:iCs/>
                <w:sz w:val="22"/>
                <w:szCs w:val="22"/>
              </w:rPr>
            </w:pPr>
            <w:proofErr w:type="spellStart"/>
            <w:r w:rsidRPr="00BA70A4">
              <w:rPr>
                <w:iCs/>
                <w:sz w:val="22"/>
                <w:szCs w:val="22"/>
              </w:rPr>
              <w:t>Kanyár</w:t>
            </w:r>
            <w:proofErr w:type="spellEnd"/>
            <w:r w:rsidRPr="00BA70A4">
              <w:rPr>
                <w:iCs/>
                <w:sz w:val="22"/>
                <w:szCs w:val="22"/>
              </w:rPr>
              <w:t xml:space="preserve"> B., Béres Cs</w:t>
            </w:r>
            <w:proofErr w:type="gramStart"/>
            <w:r w:rsidRPr="00BA70A4">
              <w:rPr>
                <w:iCs/>
                <w:sz w:val="22"/>
                <w:szCs w:val="22"/>
              </w:rPr>
              <w:t>.,</w:t>
            </w:r>
            <w:proofErr w:type="gramEnd"/>
            <w:r w:rsidRPr="00BA70A4">
              <w:rPr>
                <w:iCs/>
                <w:sz w:val="22"/>
                <w:szCs w:val="22"/>
              </w:rPr>
              <w:t xml:space="preserve"> Somlai J. és Szabó S.</w:t>
            </w:r>
            <w:proofErr w:type="gramStart"/>
            <w:r w:rsidRPr="00BA70A4">
              <w:rPr>
                <w:iCs/>
                <w:sz w:val="22"/>
                <w:szCs w:val="22"/>
              </w:rPr>
              <w:t>A</w:t>
            </w:r>
            <w:proofErr w:type="gramEnd"/>
            <w:r w:rsidRPr="00BA70A4">
              <w:rPr>
                <w:iCs/>
                <w:sz w:val="22"/>
                <w:szCs w:val="22"/>
              </w:rPr>
              <w:t xml:space="preserve">.: </w:t>
            </w:r>
            <w:proofErr w:type="spellStart"/>
            <w:r w:rsidRPr="00BA70A4">
              <w:rPr>
                <w:iCs/>
                <w:sz w:val="22"/>
                <w:szCs w:val="22"/>
              </w:rPr>
              <w:t>Radioökológia</w:t>
            </w:r>
            <w:proofErr w:type="spellEnd"/>
            <w:r w:rsidRPr="00BA70A4">
              <w:rPr>
                <w:iCs/>
                <w:sz w:val="22"/>
                <w:szCs w:val="22"/>
              </w:rPr>
              <w:t xml:space="preserve"> és környezeti sugárvédelem (Veszprém 2000).</w:t>
            </w:r>
          </w:p>
          <w:p w:rsidR="0075198E" w:rsidRPr="00F50215" w:rsidRDefault="0075198E" w:rsidP="0075198E">
            <w:pPr>
              <w:pStyle w:val="Listaszerbekezds"/>
              <w:ind w:left="0"/>
              <w:rPr>
                <w:iCs/>
                <w:sz w:val="22"/>
                <w:szCs w:val="22"/>
              </w:rPr>
            </w:pPr>
            <w:proofErr w:type="spellStart"/>
            <w:r w:rsidRPr="00BA70A4">
              <w:rPr>
                <w:iCs/>
                <w:sz w:val="22"/>
                <w:szCs w:val="22"/>
              </w:rPr>
              <w:t>Lájer</w:t>
            </w:r>
            <w:proofErr w:type="spellEnd"/>
            <w:r w:rsidRPr="00BA70A4">
              <w:rPr>
                <w:iCs/>
                <w:sz w:val="22"/>
                <w:szCs w:val="22"/>
              </w:rPr>
              <w:t xml:space="preserve"> K</w:t>
            </w:r>
            <w:proofErr w:type="gramStart"/>
            <w:r w:rsidRPr="00BA70A4">
              <w:rPr>
                <w:iCs/>
                <w:sz w:val="22"/>
                <w:szCs w:val="22"/>
              </w:rPr>
              <w:t>.:</w:t>
            </w:r>
            <w:proofErr w:type="gramEnd"/>
            <w:r w:rsidRPr="00BA70A4">
              <w:rPr>
                <w:iCs/>
                <w:sz w:val="22"/>
                <w:szCs w:val="22"/>
              </w:rPr>
              <w:t xml:space="preserve"> Sugárzásvédelem (kézirat, elektronikus formában)</w:t>
            </w:r>
          </w:p>
          <w:p w:rsidR="0075198E" w:rsidRPr="00F50215" w:rsidRDefault="0075198E" w:rsidP="0075198E">
            <w:pPr>
              <w:rPr>
                <w:iCs/>
                <w:sz w:val="22"/>
                <w:szCs w:val="22"/>
              </w:rPr>
            </w:pPr>
            <w:r w:rsidRPr="00F50215">
              <w:rPr>
                <w:iCs/>
                <w:sz w:val="22"/>
                <w:szCs w:val="22"/>
              </w:rPr>
              <w:t>Dr. Patkó István: Hulladékgazdálkodás (ÓE. 2012.) Elektronikus jegyzet – e-learning.uni-obuda.hu</w:t>
            </w:r>
          </w:p>
          <w:p w:rsidR="0075198E" w:rsidRPr="00F50215" w:rsidRDefault="0075198E" w:rsidP="0075198E">
            <w:pPr>
              <w:rPr>
                <w:iCs/>
                <w:sz w:val="22"/>
                <w:szCs w:val="22"/>
              </w:rPr>
            </w:pPr>
            <w:r w:rsidRPr="00F50215">
              <w:rPr>
                <w:iCs/>
                <w:sz w:val="22"/>
                <w:szCs w:val="22"/>
              </w:rPr>
              <w:t>Barótfi István: Környezettechnika, Mezőgazdasági Kiadó, 2000.</w:t>
            </w:r>
          </w:p>
          <w:p w:rsidR="0075198E" w:rsidRPr="00754756" w:rsidRDefault="0075198E" w:rsidP="0075198E">
            <w:pPr>
              <w:rPr>
                <w:sz w:val="22"/>
                <w:szCs w:val="22"/>
              </w:rPr>
            </w:pPr>
            <w:r w:rsidRPr="00754756">
              <w:rPr>
                <w:iCs/>
                <w:sz w:val="22"/>
                <w:szCs w:val="22"/>
              </w:rPr>
              <w:t>Környezettechnika I.-II.  Környezetvédelmi és Vízügyi Minisztérium</w:t>
            </w:r>
          </w:p>
        </w:tc>
      </w:tr>
    </w:tbl>
    <w:p w:rsidR="006A1D9E" w:rsidRDefault="006A1D9E" w:rsidP="006A1D9E"/>
    <w:p w:rsidR="00D70EF7" w:rsidRDefault="00D70EF7"/>
    <w:sectPr w:rsidR="00D70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2BF3"/>
    <w:multiLevelType w:val="hybridMultilevel"/>
    <w:tmpl w:val="93DAB2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35713"/>
    <w:multiLevelType w:val="hybridMultilevel"/>
    <w:tmpl w:val="8A044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22050"/>
    <w:multiLevelType w:val="hybridMultilevel"/>
    <w:tmpl w:val="8A044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5785F"/>
    <w:multiLevelType w:val="hybridMultilevel"/>
    <w:tmpl w:val="D59667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C47E4"/>
    <w:multiLevelType w:val="hybridMultilevel"/>
    <w:tmpl w:val="8A044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82FD1"/>
    <w:multiLevelType w:val="hybridMultilevel"/>
    <w:tmpl w:val="2F344CDE"/>
    <w:lvl w:ilvl="0" w:tplc="C3FAD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9E"/>
    <w:rsid w:val="00002962"/>
    <w:rsid w:val="00003B2C"/>
    <w:rsid w:val="000247DB"/>
    <w:rsid w:val="0005444A"/>
    <w:rsid w:val="00481D30"/>
    <w:rsid w:val="005035AF"/>
    <w:rsid w:val="005E5D17"/>
    <w:rsid w:val="006A1D9E"/>
    <w:rsid w:val="0075198E"/>
    <w:rsid w:val="00754756"/>
    <w:rsid w:val="00844F3F"/>
    <w:rsid w:val="009760A3"/>
    <w:rsid w:val="00A12492"/>
    <w:rsid w:val="00CF565D"/>
    <w:rsid w:val="00D70EF7"/>
    <w:rsid w:val="00D93404"/>
    <w:rsid w:val="00D97683"/>
    <w:rsid w:val="00DD613A"/>
    <w:rsid w:val="00E77FE5"/>
    <w:rsid w:val="00FD248A"/>
    <w:rsid w:val="00F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F3D7"/>
  <w15:chartTrackingRefBased/>
  <w15:docId w15:val="{25185AD8-1B58-4A57-963A-73A973A9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A1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A1D9E"/>
    <w:pPr>
      <w:ind w:left="708"/>
    </w:pPr>
  </w:style>
  <w:style w:type="character" w:styleId="Hiperhivatkozs">
    <w:name w:val="Hyperlink"/>
    <w:uiPriority w:val="99"/>
    <w:unhideWhenUsed/>
    <w:rsid w:val="006A1D9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rsid w:val="007547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475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ers">
    <w:name w:val="Leírás"/>
    <w:basedOn w:val="Norml"/>
    <w:rsid w:val="0075198E"/>
    <w:pPr>
      <w:widowControl w:val="0"/>
      <w:autoSpaceDE w:val="0"/>
      <w:autoSpaceDN w:val="0"/>
      <w:adjustRightInd w:val="0"/>
      <w:spacing w:before="40" w:after="40"/>
      <w:jc w:val="both"/>
    </w:pPr>
    <w:rPr>
      <w:rFonts w:ascii="Arial" w:hAnsi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936</Words>
  <Characters>6464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Ágoston Csaba</dc:creator>
  <cp:keywords/>
  <dc:description/>
  <cp:lastModifiedBy>Dr. Ágoston Csaba</cp:lastModifiedBy>
  <cp:revision>6</cp:revision>
  <dcterms:created xsi:type="dcterms:W3CDTF">2025-02-09T09:56:00Z</dcterms:created>
  <dcterms:modified xsi:type="dcterms:W3CDTF">2026-02-08T18:45:00Z</dcterms:modified>
</cp:coreProperties>
</file>