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7" w:type="pct"/>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54"/>
        <w:gridCol w:w="494"/>
        <w:gridCol w:w="2029"/>
        <w:gridCol w:w="527"/>
        <w:gridCol w:w="1741"/>
        <w:gridCol w:w="1702"/>
        <w:gridCol w:w="1928"/>
      </w:tblGrid>
      <w:tr w:rsidR="00984F66" w:rsidRPr="009A1714" w14:paraId="6FAC2E8A" w14:textId="77777777" w:rsidTr="00EA2C3D">
        <w:tc>
          <w:tcPr>
            <w:tcW w:w="1974" w:type="pct"/>
            <w:gridSpan w:val="4"/>
          </w:tcPr>
          <w:p w14:paraId="56F11B8E" w14:textId="77777777" w:rsidR="00054B1F" w:rsidRPr="009A1714" w:rsidRDefault="00054B1F" w:rsidP="00BD008B">
            <w:pPr>
              <w:jc w:val="both"/>
              <w:rPr>
                <w:b/>
                <w:i/>
                <w:sz w:val="22"/>
                <w:szCs w:val="22"/>
                <w:lang w:val="en-GB"/>
              </w:rPr>
            </w:pPr>
            <w:r w:rsidRPr="009A1714">
              <w:rPr>
                <w:b/>
                <w:i/>
                <w:sz w:val="22"/>
                <w:szCs w:val="22"/>
                <w:lang w:val="en-GB"/>
              </w:rPr>
              <w:t>Title of the course:</w:t>
            </w:r>
          </w:p>
          <w:p w14:paraId="7ABB0999" w14:textId="77777777" w:rsidR="00054B1F" w:rsidRPr="009A1714" w:rsidRDefault="00054B1F" w:rsidP="00BD008B">
            <w:pPr>
              <w:jc w:val="both"/>
              <w:rPr>
                <w:b/>
                <w:sz w:val="22"/>
                <w:szCs w:val="22"/>
                <w:lang w:val="en-GB"/>
              </w:rPr>
            </w:pPr>
            <w:r w:rsidRPr="009A1714">
              <w:rPr>
                <w:b/>
                <w:sz w:val="22"/>
                <w:szCs w:val="22"/>
                <w:lang w:val="en-GB"/>
              </w:rPr>
              <w:t>Environmental Technologies and Operations I.- Water and waste-water treatment technologies</w:t>
            </w:r>
          </w:p>
        </w:tc>
        <w:tc>
          <w:tcPr>
            <w:tcW w:w="981" w:type="pct"/>
          </w:tcPr>
          <w:p w14:paraId="746C2BD0" w14:textId="77777777" w:rsidR="00054B1F" w:rsidRPr="009A1714" w:rsidRDefault="00054B1F" w:rsidP="00BD008B">
            <w:pPr>
              <w:jc w:val="both"/>
              <w:rPr>
                <w:b/>
                <w:i/>
                <w:sz w:val="22"/>
                <w:szCs w:val="22"/>
                <w:lang w:val="en-GB"/>
              </w:rPr>
            </w:pPr>
            <w:r w:rsidRPr="009A1714">
              <w:rPr>
                <w:b/>
                <w:i/>
                <w:sz w:val="22"/>
                <w:szCs w:val="22"/>
                <w:lang w:val="en-GB"/>
              </w:rPr>
              <w:t>NEPTUN-code:</w:t>
            </w:r>
          </w:p>
          <w:p w14:paraId="74D9C6DE" w14:textId="77777777" w:rsidR="00054B1F" w:rsidRPr="009A1714" w:rsidRDefault="00054B1F" w:rsidP="00BD008B">
            <w:pPr>
              <w:jc w:val="both"/>
              <w:rPr>
                <w:sz w:val="22"/>
                <w:szCs w:val="22"/>
                <w:lang w:val="en-GB"/>
              </w:rPr>
            </w:pPr>
            <w:r w:rsidRPr="009A1714">
              <w:rPr>
                <w:sz w:val="22"/>
                <w:szCs w:val="22"/>
                <w:lang w:val="en-GB"/>
              </w:rPr>
              <w:t>RKXKM1ABN</w:t>
            </w:r>
            <w:r>
              <w:rPr>
                <w:sz w:val="22"/>
                <w:szCs w:val="22"/>
                <w:lang w:val="en-GB"/>
              </w:rPr>
              <w:t>F</w:t>
            </w:r>
          </w:p>
          <w:p w14:paraId="61AF19AC" w14:textId="77777777" w:rsidR="00054B1F" w:rsidRPr="009A1714" w:rsidRDefault="00054B1F" w:rsidP="00BD008B">
            <w:pPr>
              <w:jc w:val="both"/>
              <w:rPr>
                <w:sz w:val="22"/>
                <w:szCs w:val="22"/>
                <w:lang w:val="en-GB"/>
              </w:rPr>
            </w:pPr>
          </w:p>
        </w:tc>
        <w:tc>
          <w:tcPr>
            <w:tcW w:w="959" w:type="pct"/>
          </w:tcPr>
          <w:p w14:paraId="1578D266" w14:textId="77777777" w:rsidR="00054B1F" w:rsidRPr="009A1714" w:rsidRDefault="00054B1F" w:rsidP="00BD008B">
            <w:pPr>
              <w:jc w:val="both"/>
              <w:rPr>
                <w:i/>
                <w:sz w:val="22"/>
                <w:szCs w:val="22"/>
                <w:lang w:val="en-GB"/>
              </w:rPr>
            </w:pPr>
            <w:r w:rsidRPr="009A1714">
              <w:rPr>
                <w:b/>
                <w:i/>
                <w:sz w:val="22"/>
                <w:szCs w:val="22"/>
                <w:lang w:val="en-GB"/>
              </w:rPr>
              <w:t>Weekly teaching hours:</w:t>
            </w:r>
            <w:r w:rsidRPr="009A1714">
              <w:rPr>
                <w:i/>
                <w:sz w:val="22"/>
                <w:szCs w:val="22"/>
                <w:lang w:val="en-GB"/>
              </w:rPr>
              <w:t xml:space="preserve"> l+</w:t>
            </w:r>
            <w:r>
              <w:rPr>
                <w:i/>
                <w:sz w:val="22"/>
                <w:szCs w:val="22"/>
                <w:lang w:val="en-GB"/>
              </w:rPr>
              <w:t>cw</w:t>
            </w:r>
            <w:r w:rsidRPr="009A1714">
              <w:rPr>
                <w:i/>
                <w:sz w:val="22"/>
                <w:szCs w:val="22"/>
                <w:lang w:val="en-GB"/>
              </w:rPr>
              <w:t>+l</w:t>
            </w:r>
            <w:r>
              <w:rPr>
                <w:i/>
                <w:sz w:val="22"/>
                <w:szCs w:val="22"/>
                <w:lang w:val="en-GB"/>
              </w:rPr>
              <w:t>w</w:t>
            </w:r>
          </w:p>
          <w:p w14:paraId="572C50A5" w14:textId="77777777" w:rsidR="00054B1F" w:rsidRPr="009A1714" w:rsidRDefault="00054B1F" w:rsidP="00BD008B">
            <w:pPr>
              <w:jc w:val="both"/>
              <w:rPr>
                <w:sz w:val="22"/>
                <w:szCs w:val="22"/>
                <w:lang w:val="en-GB"/>
              </w:rPr>
            </w:pPr>
            <w:r w:rsidRPr="009A1714">
              <w:rPr>
                <w:sz w:val="22"/>
                <w:szCs w:val="22"/>
                <w:lang w:val="en-GB"/>
              </w:rPr>
              <w:t>1+2+0</w:t>
            </w:r>
          </w:p>
        </w:tc>
        <w:tc>
          <w:tcPr>
            <w:tcW w:w="1086" w:type="pct"/>
          </w:tcPr>
          <w:p w14:paraId="5A1EAF9E" w14:textId="77777777" w:rsidR="00054B1F" w:rsidRPr="009A1714" w:rsidRDefault="00054B1F" w:rsidP="00BD008B">
            <w:pPr>
              <w:jc w:val="both"/>
              <w:rPr>
                <w:sz w:val="22"/>
                <w:szCs w:val="22"/>
                <w:lang w:val="en-GB"/>
              </w:rPr>
            </w:pPr>
            <w:r w:rsidRPr="009A1714">
              <w:rPr>
                <w:b/>
                <w:i/>
                <w:iCs/>
                <w:sz w:val="22"/>
                <w:szCs w:val="22"/>
                <w:lang w:val="en-GB"/>
              </w:rPr>
              <w:t>Credit:</w:t>
            </w:r>
            <w:r w:rsidRPr="009A1714">
              <w:rPr>
                <w:iCs/>
                <w:sz w:val="22"/>
                <w:szCs w:val="22"/>
                <w:lang w:val="en-GB"/>
              </w:rPr>
              <w:t xml:space="preserve"> </w:t>
            </w:r>
            <w:r>
              <w:rPr>
                <w:iCs/>
                <w:sz w:val="22"/>
                <w:szCs w:val="22"/>
                <w:lang w:val="en-GB"/>
              </w:rPr>
              <w:t>4</w:t>
            </w:r>
          </w:p>
          <w:p w14:paraId="66442CE5" w14:textId="77777777" w:rsidR="00054B1F" w:rsidRPr="009A1714" w:rsidRDefault="00054B1F" w:rsidP="00BD008B">
            <w:pPr>
              <w:jc w:val="both"/>
              <w:rPr>
                <w:sz w:val="22"/>
                <w:szCs w:val="22"/>
                <w:lang w:val="en-GB"/>
              </w:rPr>
            </w:pPr>
            <w:r w:rsidRPr="009A1714">
              <w:rPr>
                <w:b/>
                <w:i/>
                <w:sz w:val="22"/>
                <w:szCs w:val="22"/>
                <w:lang w:val="en-GB"/>
              </w:rPr>
              <w:t>Exam type</w:t>
            </w:r>
            <w:r w:rsidRPr="009A1714">
              <w:rPr>
                <w:i/>
                <w:sz w:val="22"/>
                <w:szCs w:val="22"/>
                <w:lang w:val="en-GB"/>
              </w:rPr>
              <w:t>:</w:t>
            </w:r>
            <w:r w:rsidRPr="009A1714">
              <w:rPr>
                <w:sz w:val="22"/>
                <w:szCs w:val="22"/>
                <w:lang w:val="en-GB"/>
              </w:rPr>
              <w:t xml:space="preserve"> e </w:t>
            </w:r>
          </w:p>
          <w:p w14:paraId="607B27A1" w14:textId="77777777" w:rsidR="00054B1F" w:rsidRPr="009A1714" w:rsidRDefault="00054B1F" w:rsidP="00BD008B">
            <w:pPr>
              <w:jc w:val="both"/>
              <w:rPr>
                <w:sz w:val="22"/>
                <w:szCs w:val="22"/>
                <w:lang w:val="en-GB"/>
              </w:rPr>
            </w:pPr>
            <w:r w:rsidRPr="009A1714">
              <w:rPr>
                <w:sz w:val="22"/>
                <w:szCs w:val="22"/>
                <w:lang w:val="en-GB"/>
              </w:rPr>
              <w:t xml:space="preserve">             </w:t>
            </w:r>
          </w:p>
        </w:tc>
      </w:tr>
      <w:tr w:rsidR="00984F66" w:rsidRPr="009A1714" w14:paraId="198281BF" w14:textId="77777777" w:rsidTr="00EA2C3D">
        <w:tc>
          <w:tcPr>
            <w:tcW w:w="1677" w:type="pct"/>
            <w:gridSpan w:val="3"/>
          </w:tcPr>
          <w:p w14:paraId="3B826948" w14:textId="77777777" w:rsidR="00054B1F" w:rsidRPr="009A1714" w:rsidRDefault="00054B1F" w:rsidP="00BD008B">
            <w:pPr>
              <w:jc w:val="both"/>
              <w:rPr>
                <w:b/>
                <w:i/>
                <w:sz w:val="22"/>
                <w:szCs w:val="22"/>
                <w:lang w:val="en-GB"/>
              </w:rPr>
            </w:pPr>
            <w:r w:rsidRPr="009A1714">
              <w:rPr>
                <w:b/>
                <w:i/>
                <w:sz w:val="22"/>
                <w:szCs w:val="22"/>
                <w:lang w:val="en-GB"/>
              </w:rPr>
              <w:t>Course leader:</w:t>
            </w:r>
          </w:p>
          <w:p w14:paraId="150DC075" w14:textId="77777777" w:rsidR="00054B1F" w:rsidRPr="009A1714" w:rsidRDefault="00054B1F" w:rsidP="00BD008B">
            <w:pPr>
              <w:jc w:val="both"/>
              <w:rPr>
                <w:sz w:val="22"/>
                <w:szCs w:val="22"/>
                <w:lang w:val="en-GB"/>
              </w:rPr>
            </w:pPr>
            <w:r w:rsidRPr="009A1714">
              <w:rPr>
                <w:sz w:val="22"/>
                <w:szCs w:val="22"/>
                <w:lang w:val="en-GB"/>
              </w:rPr>
              <w:t xml:space="preserve">Rita Kendrovics-Boda, </w:t>
            </w:r>
            <w:r>
              <w:rPr>
                <w:sz w:val="22"/>
                <w:szCs w:val="22"/>
                <w:lang w:val="en-GB"/>
              </w:rPr>
              <w:t>Ph.D.</w:t>
            </w:r>
          </w:p>
        </w:tc>
        <w:tc>
          <w:tcPr>
            <w:tcW w:w="1278" w:type="pct"/>
            <w:gridSpan w:val="2"/>
          </w:tcPr>
          <w:p w14:paraId="4B9CFF0D" w14:textId="77777777" w:rsidR="00054B1F" w:rsidRPr="009A1714" w:rsidRDefault="00054B1F" w:rsidP="00BD008B">
            <w:pPr>
              <w:jc w:val="both"/>
              <w:rPr>
                <w:b/>
                <w:i/>
                <w:sz w:val="22"/>
                <w:szCs w:val="22"/>
                <w:lang w:val="en-GB"/>
              </w:rPr>
            </w:pPr>
            <w:r w:rsidRPr="009A1714">
              <w:rPr>
                <w:b/>
                <w:i/>
                <w:sz w:val="22"/>
                <w:szCs w:val="22"/>
                <w:lang w:val="en-GB"/>
              </w:rPr>
              <w:t xml:space="preserve">Position: </w:t>
            </w:r>
          </w:p>
          <w:p w14:paraId="60F1788D" w14:textId="77777777" w:rsidR="00054B1F" w:rsidRPr="009A1714" w:rsidRDefault="00054B1F" w:rsidP="00BD008B">
            <w:pPr>
              <w:jc w:val="both"/>
              <w:rPr>
                <w:sz w:val="22"/>
                <w:szCs w:val="22"/>
                <w:lang w:val="en-GB"/>
              </w:rPr>
            </w:pPr>
            <w:r w:rsidRPr="009A1714">
              <w:rPr>
                <w:sz w:val="22"/>
                <w:szCs w:val="22"/>
                <w:lang w:val="en-GB"/>
              </w:rPr>
              <w:t>associate professor</w:t>
            </w:r>
          </w:p>
        </w:tc>
        <w:tc>
          <w:tcPr>
            <w:tcW w:w="2045" w:type="pct"/>
            <w:gridSpan w:val="2"/>
          </w:tcPr>
          <w:p w14:paraId="2AAAA978" w14:textId="77777777" w:rsidR="00054B1F" w:rsidRPr="009A1714" w:rsidRDefault="00054B1F" w:rsidP="00BD008B">
            <w:pPr>
              <w:rPr>
                <w:b/>
                <w:i/>
                <w:sz w:val="22"/>
                <w:szCs w:val="22"/>
                <w:lang w:val="en-GB"/>
              </w:rPr>
            </w:pPr>
            <w:r w:rsidRPr="009A1714">
              <w:rPr>
                <w:b/>
                <w:i/>
                <w:sz w:val="22"/>
                <w:szCs w:val="22"/>
                <w:lang w:val="en-GB"/>
              </w:rPr>
              <w:t xml:space="preserve">Required preliminary knowledge: </w:t>
            </w:r>
          </w:p>
          <w:p w14:paraId="703417D0" w14:textId="77777777" w:rsidR="00054B1F" w:rsidRPr="009A1714" w:rsidRDefault="00054B1F" w:rsidP="00BD008B">
            <w:pPr>
              <w:rPr>
                <w:sz w:val="22"/>
                <w:szCs w:val="22"/>
                <w:lang w:val="en-GB"/>
              </w:rPr>
            </w:pPr>
            <w:r w:rsidRPr="009A1714">
              <w:rPr>
                <w:sz w:val="22"/>
                <w:szCs w:val="22"/>
                <w:lang w:val="en-GB"/>
              </w:rPr>
              <w:t>RKXKE1ABN</w:t>
            </w:r>
            <w:r>
              <w:rPr>
                <w:sz w:val="22"/>
                <w:szCs w:val="22"/>
                <w:lang w:val="en-GB"/>
              </w:rPr>
              <w:t>F</w:t>
            </w:r>
          </w:p>
        </w:tc>
      </w:tr>
      <w:tr w:rsidR="00054B1F" w:rsidRPr="009A1714" w14:paraId="3E9D5A17" w14:textId="77777777" w:rsidTr="00EA2C3D">
        <w:tc>
          <w:tcPr>
            <w:tcW w:w="5000" w:type="pct"/>
            <w:gridSpan w:val="7"/>
            <w:shd w:val="clear" w:color="auto" w:fill="AEAAAA" w:themeFill="background2" w:themeFillShade="BF"/>
          </w:tcPr>
          <w:p w14:paraId="3EB8478A" w14:textId="77777777" w:rsidR="00054B1F" w:rsidRPr="009A1714" w:rsidRDefault="00054B1F" w:rsidP="00BD008B">
            <w:pPr>
              <w:jc w:val="center"/>
              <w:rPr>
                <w:b/>
                <w:i/>
                <w:sz w:val="22"/>
                <w:szCs w:val="22"/>
                <w:lang w:val="en-GB"/>
              </w:rPr>
            </w:pPr>
            <w:r w:rsidRPr="009A1714">
              <w:rPr>
                <w:b/>
                <w:i/>
                <w:sz w:val="22"/>
                <w:szCs w:val="22"/>
                <w:lang w:val="en-GB"/>
              </w:rPr>
              <w:t>Curriculum:</w:t>
            </w:r>
          </w:p>
        </w:tc>
      </w:tr>
      <w:tr w:rsidR="00054B1F" w:rsidRPr="009A1714" w14:paraId="3477270A" w14:textId="77777777" w:rsidTr="00EA2C3D">
        <w:trPr>
          <w:trHeight w:val="2419"/>
        </w:trPr>
        <w:tc>
          <w:tcPr>
            <w:tcW w:w="5000" w:type="pct"/>
            <w:gridSpan w:val="7"/>
          </w:tcPr>
          <w:p w14:paraId="3595FFD8" w14:textId="77777777" w:rsidR="00054B1F" w:rsidRPr="009A1714" w:rsidRDefault="00054B1F" w:rsidP="00BD008B">
            <w:pPr>
              <w:jc w:val="both"/>
              <w:rPr>
                <w:sz w:val="22"/>
                <w:szCs w:val="22"/>
                <w:lang w:val="en-GB"/>
              </w:rPr>
            </w:pPr>
            <w:r w:rsidRPr="009A1714">
              <w:rPr>
                <w:sz w:val="22"/>
                <w:szCs w:val="22"/>
                <w:lang w:val="en-GB"/>
              </w:rPr>
              <w:t>The course objective is to show water (drinking) and wastewater treatment technologies</w:t>
            </w:r>
            <w:r w:rsidRPr="009A1714">
              <w:rPr>
                <w:rFonts w:eastAsia="Calibri"/>
                <w:sz w:val="22"/>
                <w:szCs w:val="22"/>
                <w:lang w:val="en-GB" w:eastAsia="en-US"/>
              </w:rPr>
              <w:t xml:space="preserve"> and </w:t>
            </w:r>
            <w:r w:rsidRPr="009A1714">
              <w:rPr>
                <w:sz w:val="22"/>
                <w:szCs w:val="22"/>
                <w:lang w:val="en-GB"/>
              </w:rPr>
              <w:t xml:space="preserve">the requirements of drinking water, law and standard of drinking water and cleaned wastewater. The first aim of this course is to provide technological knowledge about advanced drinking water treatment. Focus is on both, conventional and new, emerging technologies. The course discusses relevant unit processes involved, and their role and location in a typical treatment chain. Physical, chemical and biological unit processes will be covered in the course. Further emphasis is on the effect of treatment on water quality and the transformations taking place in the water phase. </w:t>
            </w:r>
          </w:p>
          <w:p w14:paraId="5684D2FD" w14:textId="77777777" w:rsidR="00054B1F" w:rsidRPr="009A1714" w:rsidRDefault="00054B1F" w:rsidP="00BD008B">
            <w:pPr>
              <w:jc w:val="both"/>
              <w:rPr>
                <w:sz w:val="22"/>
                <w:szCs w:val="22"/>
                <w:lang w:val="en-GB"/>
              </w:rPr>
            </w:pPr>
            <w:r w:rsidRPr="009A1714">
              <w:rPr>
                <w:sz w:val="22"/>
                <w:szCs w:val="22"/>
                <w:lang w:val="en-GB"/>
              </w:rPr>
              <w:t>The second aim of this course is to describe wastewater definition, types of wastewaters, and components of wastewater and sewer systems. Introduces wastewater treatment steps: Pre-treatment, Primary, Secondary and Tertiary treatment steps and available technologies within each step.</w:t>
            </w:r>
          </w:p>
          <w:p w14:paraId="409F25BA" w14:textId="77777777" w:rsidR="00054B1F" w:rsidRPr="009A1714" w:rsidRDefault="00054B1F" w:rsidP="00BD008B">
            <w:pPr>
              <w:rPr>
                <w:b/>
                <w:sz w:val="22"/>
                <w:szCs w:val="22"/>
                <w:lang w:val="en-GB"/>
              </w:rPr>
            </w:pPr>
            <w:r w:rsidRPr="009A1714">
              <w:rPr>
                <w:sz w:val="22"/>
                <w:szCs w:val="22"/>
                <w:lang w:val="en-GB"/>
              </w:rPr>
              <w:t>Highlights treatment technologies and reuse of sludge remaining in large volumes at the end of the treatment process.</w:t>
            </w:r>
          </w:p>
        </w:tc>
      </w:tr>
      <w:tr w:rsidR="00984F66" w:rsidRPr="000E18D6" w14:paraId="69E528CE" w14:textId="77777777" w:rsidTr="00EA2C3D">
        <w:tblPrEx>
          <w:jc w:val="center"/>
          <w:tblInd w:w="0" w:type="dxa"/>
          <w:tblCellMar>
            <w:left w:w="70" w:type="dxa"/>
            <w:right w:w="70" w:type="dxa"/>
          </w:tblCellMar>
          <w:tblLook w:val="0000" w:firstRow="0" w:lastRow="0" w:firstColumn="0" w:lastColumn="0" w:noHBand="0" w:noVBand="0"/>
        </w:tblPrEx>
        <w:trPr>
          <w:cantSplit/>
          <w:trHeight w:val="278"/>
          <w:jc w:val="center"/>
        </w:trPr>
        <w:tc>
          <w:tcPr>
            <w:tcW w:w="5000" w:type="pct"/>
            <w:gridSpan w:val="7"/>
            <w:shd w:val="clear" w:color="auto" w:fill="AEAAAA" w:themeFill="background2" w:themeFillShade="BF"/>
            <w:vAlign w:val="center"/>
          </w:tcPr>
          <w:p w14:paraId="040C60AB" w14:textId="77777777" w:rsidR="00984F66" w:rsidRPr="00984F66" w:rsidRDefault="00984F66" w:rsidP="00895407">
            <w:pPr>
              <w:pStyle w:val="Cmsor2"/>
              <w:jc w:val="center"/>
              <w:rPr>
                <w:rFonts w:ascii="Times New Roman" w:hAnsi="Times New Roman"/>
                <w:b/>
                <w:sz w:val="22"/>
                <w:szCs w:val="22"/>
                <w:lang w:val="en-GB"/>
              </w:rPr>
            </w:pPr>
            <w:r w:rsidRPr="00984F66">
              <w:rPr>
                <w:rFonts w:ascii="Times New Roman" w:hAnsi="Times New Roman"/>
                <w:b/>
                <w:sz w:val="22"/>
                <w:szCs w:val="22"/>
                <w:lang w:val="en-GB"/>
              </w:rPr>
              <w:t>Curriculum Description:</w:t>
            </w:r>
          </w:p>
        </w:tc>
      </w:tr>
      <w:tr w:rsidR="00984F66" w:rsidRPr="000E18D6" w14:paraId="266D74C0" w14:textId="77777777" w:rsidTr="00EA2C3D">
        <w:tblPrEx>
          <w:jc w:val="center"/>
          <w:tblInd w:w="0" w:type="dxa"/>
          <w:tblCellMar>
            <w:left w:w="70" w:type="dxa"/>
            <w:right w:w="70" w:type="dxa"/>
          </w:tblCellMar>
          <w:tblLook w:val="0000" w:firstRow="0" w:lastRow="0" w:firstColumn="0" w:lastColumn="0" w:noHBand="0" w:noVBand="0"/>
        </w:tblPrEx>
        <w:trPr>
          <w:cantSplit/>
          <w:trHeight w:val="278"/>
          <w:jc w:val="center"/>
        </w:trPr>
        <w:tc>
          <w:tcPr>
            <w:tcW w:w="5000" w:type="pct"/>
            <w:gridSpan w:val="7"/>
            <w:vAlign w:val="center"/>
          </w:tcPr>
          <w:p w14:paraId="175B58E1" w14:textId="77777777" w:rsidR="00984F66" w:rsidRPr="00984F66" w:rsidRDefault="00984F66" w:rsidP="00895407">
            <w:pPr>
              <w:pStyle w:val="Cmsor2"/>
              <w:rPr>
                <w:rFonts w:ascii="Times New Roman" w:hAnsi="Times New Roman"/>
                <w:bCs/>
                <w:sz w:val="22"/>
                <w:szCs w:val="22"/>
                <w:lang w:val="en-GB"/>
              </w:rPr>
            </w:pPr>
            <w:r w:rsidRPr="00984F66">
              <w:rPr>
                <w:rFonts w:ascii="Times New Roman" w:hAnsi="Times New Roman"/>
                <w:bCs/>
                <w:sz w:val="22"/>
                <w:szCs w:val="22"/>
                <w:lang w:val="en-GB"/>
              </w:rPr>
              <w:t>Topics of lectures and practices:</w:t>
            </w:r>
          </w:p>
        </w:tc>
      </w:tr>
      <w:tr w:rsidR="00984F66" w:rsidRPr="000E18D6" w14:paraId="69E9731F" w14:textId="77777777" w:rsidTr="00EA2C3D">
        <w:tblPrEx>
          <w:jc w:val="center"/>
          <w:tblInd w:w="0" w:type="dxa"/>
          <w:tblCellMar>
            <w:left w:w="70" w:type="dxa"/>
            <w:right w:w="70" w:type="dxa"/>
          </w:tblCellMar>
          <w:tblLook w:val="0000" w:firstRow="0" w:lastRow="0" w:firstColumn="0" w:lastColumn="0" w:noHBand="0" w:noVBand="0"/>
        </w:tblPrEx>
        <w:trPr>
          <w:cantSplit/>
          <w:trHeight w:val="791"/>
          <w:jc w:val="center"/>
        </w:trPr>
        <w:tc>
          <w:tcPr>
            <w:tcW w:w="534" w:type="pct"/>
            <w:gridSpan w:val="2"/>
            <w:shd w:val="clear" w:color="auto" w:fill="AEAAAA" w:themeFill="background2" w:themeFillShade="BF"/>
            <w:vAlign w:val="center"/>
          </w:tcPr>
          <w:p w14:paraId="5024A864"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Week of Semester</w:t>
            </w:r>
          </w:p>
        </w:tc>
        <w:tc>
          <w:tcPr>
            <w:tcW w:w="4466" w:type="pct"/>
            <w:gridSpan w:val="5"/>
            <w:shd w:val="clear" w:color="auto" w:fill="AEAAAA" w:themeFill="background2" w:themeFillShade="BF"/>
            <w:vAlign w:val="center"/>
          </w:tcPr>
          <w:p w14:paraId="295CD879" w14:textId="5172EE0F"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Topic</w:t>
            </w:r>
            <w:r w:rsidR="0053490E">
              <w:rPr>
                <w:rFonts w:ascii="Times New Roman" w:hAnsi="Times New Roman"/>
                <w:bCs/>
                <w:sz w:val="22"/>
                <w:szCs w:val="22"/>
                <w:lang w:val="en-GB"/>
              </w:rPr>
              <w:t>s of lectures and practical sessions</w:t>
            </w:r>
          </w:p>
        </w:tc>
      </w:tr>
      <w:tr w:rsidR="00984F66" w:rsidRPr="00A144F4" w14:paraId="495B59EC"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3BF24BF2"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1.</w:t>
            </w:r>
          </w:p>
        </w:tc>
        <w:tc>
          <w:tcPr>
            <w:tcW w:w="4466" w:type="pct"/>
            <w:gridSpan w:val="5"/>
            <w:vAlign w:val="center"/>
          </w:tcPr>
          <w:p w14:paraId="59585B07" w14:textId="60B879CE" w:rsidR="00984F66" w:rsidRPr="00984F66" w:rsidRDefault="00984F66" w:rsidP="00895407">
            <w:pPr>
              <w:rPr>
                <w:bCs/>
                <w:sz w:val="22"/>
                <w:szCs w:val="22"/>
                <w:lang w:val="en-GB"/>
              </w:rPr>
            </w:pPr>
            <w:r w:rsidRPr="00984F66">
              <w:rPr>
                <w:bCs/>
                <w:sz w:val="22"/>
                <w:szCs w:val="22"/>
                <w:lang w:val="en-GB"/>
              </w:rPr>
              <w:t xml:space="preserve">Introduction – the origin of wastewater, the types of </w:t>
            </w:r>
            <w:r w:rsidR="00EA2C3D" w:rsidRPr="00984F66">
              <w:rPr>
                <w:bCs/>
                <w:sz w:val="22"/>
                <w:szCs w:val="22"/>
                <w:lang w:val="en-GB"/>
              </w:rPr>
              <w:t>wastewaters</w:t>
            </w:r>
          </w:p>
          <w:p w14:paraId="2DA90CC3" w14:textId="77777777" w:rsidR="00984F66" w:rsidRPr="00984F66" w:rsidRDefault="00984F66" w:rsidP="00895407">
            <w:pPr>
              <w:pStyle w:val="Lers"/>
              <w:jc w:val="left"/>
              <w:rPr>
                <w:rFonts w:ascii="Times New Roman" w:hAnsi="Times New Roman"/>
                <w:bCs/>
                <w:sz w:val="22"/>
                <w:szCs w:val="22"/>
                <w:lang w:val="en-GB"/>
              </w:rPr>
            </w:pPr>
            <w:r w:rsidRPr="00984F66">
              <w:rPr>
                <w:rFonts w:ascii="Times New Roman" w:hAnsi="Times New Roman"/>
                <w:bCs/>
                <w:sz w:val="22"/>
                <w:szCs w:val="22"/>
                <w:lang w:val="en-GB"/>
              </w:rPr>
              <w:t xml:space="preserve">Compositions of wastewater                                                                </w:t>
            </w:r>
          </w:p>
        </w:tc>
      </w:tr>
      <w:tr w:rsidR="00984F66" w:rsidRPr="000E18D6" w14:paraId="03458CD6"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50959EB5"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2.</w:t>
            </w:r>
          </w:p>
        </w:tc>
        <w:tc>
          <w:tcPr>
            <w:tcW w:w="4466" w:type="pct"/>
            <w:gridSpan w:val="5"/>
            <w:vAlign w:val="center"/>
          </w:tcPr>
          <w:p w14:paraId="16F655C8" w14:textId="77777777" w:rsidR="00984F66" w:rsidRPr="00984F66" w:rsidRDefault="00984F66" w:rsidP="00895407">
            <w:pPr>
              <w:rPr>
                <w:bCs/>
                <w:sz w:val="22"/>
                <w:szCs w:val="22"/>
                <w:lang w:val="en-GB"/>
              </w:rPr>
            </w:pPr>
            <w:r w:rsidRPr="00984F66">
              <w:rPr>
                <w:bCs/>
                <w:sz w:val="22"/>
                <w:szCs w:val="22"/>
                <w:lang w:val="en-GB"/>
              </w:rPr>
              <w:t>Collection system of wastewater</w:t>
            </w:r>
          </w:p>
        </w:tc>
      </w:tr>
      <w:tr w:rsidR="00984F66" w:rsidRPr="000E18D6" w14:paraId="1AA06375"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1E38A38B"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3.</w:t>
            </w:r>
          </w:p>
        </w:tc>
        <w:tc>
          <w:tcPr>
            <w:tcW w:w="4466" w:type="pct"/>
            <w:gridSpan w:val="5"/>
            <w:vAlign w:val="center"/>
          </w:tcPr>
          <w:p w14:paraId="7DE6CF01" w14:textId="385EF2C4" w:rsidR="00984F66" w:rsidRPr="00984F66" w:rsidRDefault="0025172D" w:rsidP="00895407">
            <w:pPr>
              <w:rPr>
                <w:bCs/>
                <w:sz w:val="22"/>
                <w:szCs w:val="22"/>
                <w:lang w:val="en-GB"/>
              </w:rPr>
            </w:pPr>
            <w:r>
              <w:rPr>
                <w:bCs/>
                <w:sz w:val="22"/>
                <w:szCs w:val="22"/>
                <w:lang w:val="en-GB"/>
              </w:rPr>
              <w:t>Exhibitation of Planet Expo</w:t>
            </w:r>
          </w:p>
        </w:tc>
      </w:tr>
      <w:tr w:rsidR="00984F66" w:rsidRPr="000E18D6" w14:paraId="616B0816"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1614505B"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4.</w:t>
            </w:r>
          </w:p>
        </w:tc>
        <w:tc>
          <w:tcPr>
            <w:tcW w:w="4466" w:type="pct"/>
            <w:gridSpan w:val="5"/>
            <w:vAlign w:val="center"/>
          </w:tcPr>
          <w:p w14:paraId="245B6629" w14:textId="71118F67" w:rsidR="00984F66" w:rsidRPr="00984F66" w:rsidRDefault="006A6362" w:rsidP="00895407">
            <w:pPr>
              <w:rPr>
                <w:bCs/>
                <w:sz w:val="22"/>
                <w:szCs w:val="22"/>
                <w:lang w:val="en-GB"/>
              </w:rPr>
            </w:pPr>
            <w:r w:rsidRPr="006A6362">
              <w:rPr>
                <w:bCs/>
                <w:sz w:val="22"/>
                <w:szCs w:val="22"/>
                <w:lang w:val="en-GB"/>
              </w:rPr>
              <w:t>Preliminary treatment technologies</w:t>
            </w:r>
            <w:r w:rsidR="00243E92">
              <w:rPr>
                <w:bCs/>
                <w:sz w:val="22"/>
                <w:szCs w:val="22"/>
                <w:lang w:val="en-GB"/>
              </w:rPr>
              <w:t xml:space="preserve">  </w:t>
            </w:r>
          </w:p>
        </w:tc>
      </w:tr>
      <w:tr w:rsidR="00984F66" w:rsidRPr="00A144F4" w14:paraId="61AFEEB3"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shd w:val="clear" w:color="auto" w:fill="FFFFFF"/>
            <w:vAlign w:val="center"/>
          </w:tcPr>
          <w:p w14:paraId="622221FC"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5.</w:t>
            </w:r>
          </w:p>
        </w:tc>
        <w:tc>
          <w:tcPr>
            <w:tcW w:w="4466" w:type="pct"/>
            <w:gridSpan w:val="5"/>
            <w:shd w:val="clear" w:color="auto" w:fill="FFFFFF"/>
            <w:vAlign w:val="center"/>
          </w:tcPr>
          <w:p w14:paraId="527EB343" w14:textId="69CA4D75" w:rsidR="00984F66" w:rsidRPr="00984F66" w:rsidRDefault="00243E92" w:rsidP="00895407">
            <w:pPr>
              <w:rPr>
                <w:bCs/>
                <w:sz w:val="22"/>
                <w:szCs w:val="22"/>
                <w:lang w:val="en-GB"/>
              </w:rPr>
            </w:pPr>
            <w:r w:rsidRPr="00243E92">
              <w:rPr>
                <w:bCs/>
                <w:sz w:val="22"/>
                <w:szCs w:val="22"/>
                <w:lang w:val="en-GB"/>
              </w:rPr>
              <w:t>Primary treatment – Sedimentation</w:t>
            </w:r>
            <w:r w:rsidRPr="00243E92">
              <w:rPr>
                <w:bCs/>
                <w:sz w:val="22"/>
                <w:szCs w:val="22"/>
                <w:lang w:val="en-GB"/>
              </w:rPr>
              <w:t xml:space="preserve"> </w:t>
            </w:r>
            <w:r>
              <w:rPr>
                <w:bCs/>
                <w:sz w:val="22"/>
                <w:szCs w:val="22"/>
                <w:lang w:val="en-GB"/>
              </w:rPr>
              <w:t xml:space="preserve"> </w:t>
            </w:r>
          </w:p>
        </w:tc>
      </w:tr>
      <w:tr w:rsidR="00984F66" w:rsidRPr="000E18D6" w14:paraId="48457D07"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35652F4E"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6.</w:t>
            </w:r>
          </w:p>
        </w:tc>
        <w:tc>
          <w:tcPr>
            <w:tcW w:w="4466" w:type="pct"/>
            <w:gridSpan w:val="5"/>
            <w:vAlign w:val="center"/>
          </w:tcPr>
          <w:p w14:paraId="05D49ADB" w14:textId="6B1A44B2" w:rsidR="00984F66" w:rsidRPr="00984F66" w:rsidRDefault="00243E92" w:rsidP="00895407">
            <w:pPr>
              <w:pStyle w:val="Lers"/>
              <w:jc w:val="left"/>
              <w:rPr>
                <w:rFonts w:ascii="Times New Roman" w:hAnsi="Times New Roman"/>
                <w:bCs/>
                <w:sz w:val="22"/>
                <w:szCs w:val="22"/>
                <w:lang w:val="en-GB"/>
              </w:rPr>
            </w:pPr>
            <w:r w:rsidRPr="00243E92">
              <w:rPr>
                <w:rFonts w:ascii="Times New Roman" w:hAnsi="Times New Roman"/>
                <w:bCs/>
                <w:sz w:val="22"/>
                <w:szCs w:val="22"/>
                <w:lang w:val="en-GB"/>
              </w:rPr>
              <w:t xml:space="preserve">Secondary treatment -Biological treatment                                     </w:t>
            </w:r>
          </w:p>
        </w:tc>
      </w:tr>
      <w:tr w:rsidR="00984F66" w:rsidRPr="000E18D6" w14:paraId="14CBA700"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2CDA5B99"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7.</w:t>
            </w:r>
          </w:p>
        </w:tc>
        <w:tc>
          <w:tcPr>
            <w:tcW w:w="4466" w:type="pct"/>
            <w:gridSpan w:val="5"/>
            <w:vAlign w:val="center"/>
          </w:tcPr>
          <w:p w14:paraId="4FF8BF31" w14:textId="1FE5E1C1" w:rsidR="00984F66" w:rsidRPr="00984F66" w:rsidRDefault="00243E92" w:rsidP="00895407">
            <w:pPr>
              <w:rPr>
                <w:bCs/>
                <w:sz w:val="22"/>
                <w:szCs w:val="22"/>
                <w:lang w:val="en-GB"/>
              </w:rPr>
            </w:pPr>
            <w:r w:rsidRPr="00984F66">
              <w:rPr>
                <w:bCs/>
                <w:sz w:val="22"/>
                <w:szCs w:val="22"/>
                <w:lang w:val="en-GB"/>
              </w:rPr>
              <w:t>Tertiary treatment</w:t>
            </w:r>
            <w:r w:rsidRPr="00984F66">
              <w:rPr>
                <w:bCs/>
                <w:i/>
                <w:iCs/>
                <w:sz w:val="22"/>
                <w:szCs w:val="22"/>
                <w:lang w:val="en-GB"/>
              </w:rPr>
              <w:t xml:space="preserve"> </w:t>
            </w:r>
            <w:r w:rsidRPr="00984F66">
              <w:rPr>
                <w:bCs/>
                <w:sz w:val="22"/>
                <w:szCs w:val="22"/>
                <w:lang w:val="en-GB"/>
              </w:rPr>
              <w:t>- Nutrient removal</w:t>
            </w:r>
            <w:r w:rsidRPr="00984F66">
              <w:rPr>
                <w:bCs/>
                <w:i/>
                <w:iCs/>
                <w:sz w:val="22"/>
                <w:szCs w:val="22"/>
                <w:lang w:val="en-GB"/>
              </w:rPr>
              <w:t xml:space="preserve">                </w:t>
            </w:r>
          </w:p>
        </w:tc>
      </w:tr>
      <w:tr w:rsidR="00984F66" w:rsidRPr="000E18D6" w14:paraId="257C047C"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63D26990"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8.</w:t>
            </w:r>
          </w:p>
        </w:tc>
        <w:tc>
          <w:tcPr>
            <w:tcW w:w="4466" w:type="pct"/>
            <w:gridSpan w:val="5"/>
            <w:vAlign w:val="center"/>
          </w:tcPr>
          <w:p w14:paraId="1A28ACDB" w14:textId="5514A3EB" w:rsidR="00984F66" w:rsidRPr="00984F66" w:rsidRDefault="0025172D" w:rsidP="00895407">
            <w:pPr>
              <w:rPr>
                <w:bCs/>
                <w:sz w:val="22"/>
                <w:szCs w:val="22"/>
                <w:lang w:val="en-GB"/>
              </w:rPr>
            </w:pPr>
            <w:r w:rsidRPr="00984F66">
              <w:rPr>
                <w:bCs/>
                <w:sz w:val="22"/>
                <w:szCs w:val="22"/>
                <w:lang w:val="en-GB"/>
              </w:rPr>
              <w:t>Disinfection</w:t>
            </w:r>
            <w:r w:rsidRPr="00984F66">
              <w:rPr>
                <w:bCs/>
                <w:sz w:val="22"/>
                <w:szCs w:val="22"/>
                <w:lang w:val="en-GB"/>
              </w:rPr>
              <w:t xml:space="preserve"> </w:t>
            </w:r>
          </w:p>
        </w:tc>
      </w:tr>
      <w:tr w:rsidR="00984F66" w:rsidRPr="000E18D6" w14:paraId="5089B21A"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21C4C1FF"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9.</w:t>
            </w:r>
          </w:p>
        </w:tc>
        <w:tc>
          <w:tcPr>
            <w:tcW w:w="4466" w:type="pct"/>
            <w:gridSpan w:val="5"/>
            <w:vAlign w:val="center"/>
          </w:tcPr>
          <w:p w14:paraId="145308EA" w14:textId="7F71AB91" w:rsidR="00984F66" w:rsidRPr="00984F66" w:rsidRDefault="006A6362" w:rsidP="00895407">
            <w:pPr>
              <w:pStyle w:val="Lers"/>
              <w:jc w:val="left"/>
              <w:rPr>
                <w:rFonts w:ascii="Times New Roman" w:hAnsi="Times New Roman"/>
                <w:bCs/>
                <w:sz w:val="22"/>
                <w:szCs w:val="22"/>
                <w:lang w:val="en-GB"/>
              </w:rPr>
            </w:pPr>
            <w:r>
              <w:rPr>
                <w:rFonts w:ascii="Times New Roman" w:hAnsi="Times New Roman"/>
                <w:bCs/>
                <w:sz w:val="22"/>
                <w:szCs w:val="22"/>
                <w:lang w:val="en-GB"/>
              </w:rPr>
              <w:t>Environmental Professional Day</w:t>
            </w:r>
          </w:p>
        </w:tc>
      </w:tr>
      <w:tr w:rsidR="00984F66" w:rsidRPr="000E18D6" w14:paraId="692DF93A"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4D827905"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10.</w:t>
            </w:r>
          </w:p>
        </w:tc>
        <w:tc>
          <w:tcPr>
            <w:tcW w:w="4466" w:type="pct"/>
            <w:gridSpan w:val="5"/>
            <w:vAlign w:val="center"/>
          </w:tcPr>
          <w:p w14:paraId="21698C09" w14:textId="1CE23787" w:rsidR="00984F66" w:rsidRPr="00984F66" w:rsidRDefault="00E14594" w:rsidP="00895407">
            <w:pPr>
              <w:pStyle w:val="Lers"/>
              <w:jc w:val="left"/>
              <w:rPr>
                <w:rFonts w:ascii="Times New Roman" w:hAnsi="Times New Roman"/>
                <w:bCs/>
                <w:sz w:val="22"/>
                <w:szCs w:val="22"/>
                <w:lang w:val="en-GB"/>
              </w:rPr>
            </w:pPr>
            <w:r w:rsidRPr="00E14594">
              <w:rPr>
                <w:rFonts w:ascii="Times New Roman" w:hAnsi="Times New Roman"/>
                <w:bCs/>
                <w:sz w:val="22"/>
                <w:szCs w:val="22"/>
                <w:lang w:val="en-GB"/>
              </w:rPr>
              <w:t>Membrane technology</w:t>
            </w:r>
            <w:r w:rsidRPr="00E14594">
              <w:rPr>
                <w:rFonts w:ascii="Times New Roman" w:hAnsi="Times New Roman"/>
                <w:bCs/>
                <w:sz w:val="22"/>
                <w:szCs w:val="22"/>
                <w:lang w:val="en-GB"/>
              </w:rPr>
              <w:t xml:space="preserve"> </w:t>
            </w:r>
          </w:p>
        </w:tc>
      </w:tr>
      <w:tr w:rsidR="00984F66" w:rsidRPr="000E18D6" w14:paraId="60E9EBF0"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23BF1C9C"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11.</w:t>
            </w:r>
          </w:p>
        </w:tc>
        <w:tc>
          <w:tcPr>
            <w:tcW w:w="4466" w:type="pct"/>
            <w:gridSpan w:val="5"/>
            <w:vAlign w:val="center"/>
          </w:tcPr>
          <w:p w14:paraId="45B960A6" w14:textId="77777777" w:rsidR="00E14594" w:rsidRDefault="00E14594" w:rsidP="00E14594">
            <w:pPr>
              <w:pStyle w:val="Lers"/>
              <w:jc w:val="left"/>
              <w:rPr>
                <w:rFonts w:ascii="Times New Roman" w:hAnsi="Times New Roman"/>
                <w:bCs/>
                <w:sz w:val="22"/>
                <w:szCs w:val="22"/>
                <w:lang w:val="en-GB"/>
              </w:rPr>
            </w:pPr>
            <w:r w:rsidRPr="00984F66">
              <w:rPr>
                <w:rFonts w:ascii="Times New Roman" w:hAnsi="Times New Roman"/>
                <w:bCs/>
                <w:sz w:val="22"/>
                <w:szCs w:val="22"/>
                <w:lang w:val="en-GB"/>
              </w:rPr>
              <w:t xml:space="preserve">The types of sewage sludge and treatment </w:t>
            </w:r>
          </w:p>
          <w:p w14:paraId="75B94DC8" w14:textId="73BD9CC3" w:rsidR="00984F66" w:rsidRPr="00984F66" w:rsidRDefault="00E14594" w:rsidP="00E14594">
            <w:pPr>
              <w:pStyle w:val="Lers"/>
              <w:jc w:val="left"/>
              <w:rPr>
                <w:rFonts w:ascii="Times New Roman" w:hAnsi="Times New Roman"/>
                <w:bCs/>
                <w:sz w:val="22"/>
                <w:szCs w:val="22"/>
                <w:lang w:val="en-GB"/>
              </w:rPr>
            </w:pPr>
            <w:r w:rsidRPr="00984F66">
              <w:rPr>
                <w:rFonts w:ascii="Times New Roman" w:hAnsi="Times New Roman"/>
                <w:bCs/>
                <w:sz w:val="22"/>
                <w:szCs w:val="22"/>
                <w:lang w:val="en-GB"/>
              </w:rPr>
              <w:t>Sewage sludge uses is agriculture</w:t>
            </w:r>
          </w:p>
        </w:tc>
      </w:tr>
      <w:tr w:rsidR="00984F66" w:rsidRPr="000E18D6" w14:paraId="237A14E1"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090D40D0" w14:textId="77777777"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12.</w:t>
            </w:r>
          </w:p>
        </w:tc>
        <w:tc>
          <w:tcPr>
            <w:tcW w:w="4466" w:type="pct"/>
            <w:gridSpan w:val="5"/>
            <w:vAlign w:val="center"/>
          </w:tcPr>
          <w:p w14:paraId="5C7C313F" w14:textId="77777777" w:rsidR="00984F66" w:rsidRPr="00984F66" w:rsidRDefault="00984F66" w:rsidP="00895407">
            <w:pPr>
              <w:pStyle w:val="Lers"/>
              <w:jc w:val="left"/>
              <w:rPr>
                <w:rFonts w:ascii="Times New Roman" w:hAnsi="Times New Roman"/>
                <w:bCs/>
                <w:sz w:val="22"/>
                <w:szCs w:val="22"/>
                <w:lang w:val="en-GB"/>
              </w:rPr>
            </w:pPr>
            <w:r w:rsidRPr="00984F66">
              <w:rPr>
                <w:rFonts w:ascii="Times New Roman" w:hAnsi="Times New Roman"/>
                <w:bCs/>
                <w:sz w:val="22"/>
                <w:szCs w:val="22"/>
                <w:lang w:val="en-GB"/>
              </w:rPr>
              <w:t>Natural wastewater treatment</w:t>
            </w:r>
          </w:p>
        </w:tc>
      </w:tr>
      <w:tr w:rsidR="00984F66" w:rsidRPr="00185235" w14:paraId="33131A87"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1D7FD129" w14:textId="4E3D6766"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13.</w:t>
            </w:r>
          </w:p>
        </w:tc>
        <w:tc>
          <w:tcPr>
            <w:tcW w:w="4466" w:type="pct"/>
            <w:gridSpan w:val="5"/>
            <w:vAlign w:val="center"/>
          </w:tcPr>
          <w:p w14:paraId="4B87C811" w14:textId="68747396" w:rsidR="00984F66" w:rsidRPr="00984F66" w:rsidRDefault="006E0F19" w:rsidP="00895407">
            <w:pPr>
              <w:pStyle w:val="Lers"/>
              <w:jc w:val="left"/>
              <w:rPr>
                <w:rFonts w:ascii="Times New Roman" w:hAnsi="Times New Roman"/>
                <w:bCs/>
                <w:sz w:val="22"/>
                <w:szCs w:val="22"/>
                <w:lang w:val="en-GB"/>
              </w:rPr>
            </w:pPr>
            <w:r w:rsidRPr="00984F66">
              <w:rPr>
                <w:rFonts w:ascii="Times New Roman" w:hAnsi="Times New Roman"/>
                <w:bCs/>
                <w:sz w:val="22"/>
                <w:szCs w:val="22"/>
                <w:lang w:val="en-GB"/>
              </w:rPr>
              <w:t>Decentralized wastewater treatment</w:t>
            </w:r>
          </w:p>
        </w:tc>
      </w:tr>
      <w:tr w:rsidR="00984F66" w14:paraId="1C93F38B" w14:textId="77777777" w:rsidTr="00EA2C3D">
        <w:tblPrEx>
          <w:jc w:val="center"/>
          <w:tblInd w:w="0" w:type="dxa"/>
          <w:tblCellMar>
            <w:left w:w="70" w:type="dxa"/>
            <w:right w:w="70" w:type="dxa"/>
          </w:tblCellMar>
          <w:tblLook w:val="0000" w:firstRow="0" w:lastRow="0" w:firstColumn="0" w:lastColumn="0" w:noHBand="0" w:noVBand="0"/>
        </w:tblPrEx>
        <w:trPr>
          <w:cantSplit/>
          <w:trHeight w:val="454"/>
          <w:jc w:val="center"/>
        </w:trPr>
        <w:tc>
          <w:tcPr>
            <w:tcW w:w="534" w:type="pct"/>
            <w:gridSpan w:val="2"/>
            <w:vAlign w:val="center"/>
          </w:tcPr>
          <w:p w14:paraId="7EED8B86" w14:textId="24B49B88" w:rsidR="00984F66" w:rsidRPr="00984F66" w:rsidRDefault="00984F66" w:rsidP="00895407">
            <w:pPr>
              <w:pStyle w:val="Lers"/>
              <w:jc w:val="center"/>
              <w:rPr>
                <w:rFonts w:ascii="Times New Roman" w:hAnsi="Times New Roman"/>
                <w:bCs/>
                <w:sz w:val="22"/>
                <w:szCs w:val="22"/>
                <w:lang w:val="en-GB"/>
              </w:rPr>
            </w:pPr>
            <w:r w:rsidRPr="00984F66">
              <w:rPr>
                <w:rFonts w:ascii="Times New Roman" w:hAnsi="Times New Roman"/>
                <w:bCs/>
                <w:sz w:val="22"/>
                <w:szCs w:val="22"/>
                <w:lang w:val="en-GB"/>
              </w:rPr>
              <w:t>14.</w:t>
            </w:r>
          </w:p>
        </w:tc>
        <w:tc>
          <w:tcPr>
            <w:tcW w:w="4466" w:type="pct"/>
            <w:gridSpan w:val="5"/>
            <w:vAlign w:val="center"/>
          </w:tcPr>
          <w:p w14:paraId="7A0E95C1" w14:textId="7D7E118E" w:rsidR="00984F66" w:rsidRPr="00984F66" w:rsidRDefault="006E0F19" w:rsidP="00895407">
            <w:pPr>
              <w:pStyle w:val="Lers"/>
              <w:jc w:val="left"/>
              <w:rPr>
                <w:rFonts w:ascii="Times New Roman" w:hAnsi="Times New Roman"/>
                <w:bCs/>
                <w:sz w:val="22"/>
                <w:szCs w:val="22"/>
                <w:lang w:val="en-GB"/>
              </w:rPr>
            </w:pPr>
            <w:r>
              <w:rPr>
                <w:rFonts w:ascii="Times New Roman" w:hAnsi="Times New Roman"/>
                <w:bCs/>
                <w:sz w:val="22"/>
                <w:szCs w:val="22"/>
                <w:lang w:val="en-GB"/>
              </w:rPr>
              <w:t>P</w:t>
            </w:r>
            <w:r w:rsidRPr="00984F66">
              <w:rPr>
                <w:rFonts w:ascii="Times New Roman" w:hAnsi="Times New Roman"/>
                <w:bCs/>
                <w:sz w:val="22"/>
                <w:szCs w:val="22"/>
                <w:lang w:val="en-GB"/>
              </w:rPr>
              <w:t>re-exam</w:t>
            </w:r>
            <w:r w:rsidRPr="00984F66">
              <w:rPr>
                <w:rFonts w:ascii="Times New Roman" w:hAnsi="Times New Roman"/>
                <w:bCs/>
                <w:sz w:val="22"/>
                <w:szCs w:val="22"/>
                <w:lang w:val="en-GB"/>
              </w:rPr>
              <w:t xml:space="preserve"> </w:t>
            </w:r>
            <w:r>
              <w:rPr>
                <w:rFonts w:ascii="Times New Roman" w:hAnsi="Times New Roman"/>
                <w:bCs/>
                <w:sz w:val="22"/>
                <w:szCs w:val="22"/>
                <w:lang w:val="en-GB"/>
              </w:rPr>
              <w:t xml:space="preserve"> </w:t>
            </w:r>
          </w:p>
        </w:tc>
      </w:tr>
      <w:tr w:rsidR="00984F66" w:rsidRPr="000E18D6" w14:paraId="77A1A313" w14:textId="77777777" w:rsidTr="00EA2C3D">
        <w:tblPrEx>
          <w:jc w:val="center"/>
          <w:tblInd w:w="0" w:type="dxa"/>
          <w:tblCellMar>
            <w:left w:w="70" w:type="dxa"/>
            <w:right w:w="70" w:type="dxa"/>
          </w:tblCellMar>
          <w:tblLook w:val="0000" w:firstRow="0" w:lastRow="0" w:firstColumn="0" w:lastColumn="0" w:noHBand="0" w:noVBand="0"/>
        </w:tblPrEx>
        <w:trPr>
          <w:cantSplit/>
          <w:trHeight w:val="278"/>
          <w:jc w:val="center"/>
        </w:trPr>
        <w:tc>
          <w:tcPr>
            <w:tcW w:w="5000" w:type="pct"/>
            <w:gridSpan w:val="7"/>
            <w:shd w:val="clear" w:color="auto" w:fill="AEAAAA" w:themeFill="background2" w:themeFillShade="BF"/>
            <w:vAlign w:val="center"/>
          </w:tcPr>
          <w:p w14:paraId="1DEF1266" w14:textId="5CC35EE1" w:rsidR="00984F66" w:rsidRPr="00984F66" w:rsidRDefault="00984F66" w:rsidP="00895407">
            <w:pPr>
              <w:pStyle w:val="Cmsor2"/>
              <w:jc w:val="center"/>
              <w:rPr>
                <w:rFonts w:ascii="Times New Roman" w:hAnsi="Times New Roman"/>
                <w:b/>
                <w:bCs/>
                <w:sz w:val="22"/>
                <w:szCs w:val="22"/>
                <w:lang w:val="en-GB"/>
              </w:rPr>
            </w:pPr>
            <w:r w:rsidRPr="00984F66">
              <w:rPr>
                <w:rFonts w:ascii="Times New Roman" w:hAnsi="Times New Roman"/>
                <w:b/>
                <w:bCs/>
                <w:sz w:val="22"/>
                <w:szCs w:val="22"/>
                <w:lang w:val="en-GB"/>
              </w:rPr>
              <w:lastRenderedPageBreak/>
              <w:t>Mid-semester requirements</w:t>
            </w:r>
            <w:r>
              <w:rPr>
                <w:rFonts w:ascii="Times New Roman" w:hAnsi="Times New Roman"/>
                <w:b/>
                <w:bCs/>
                <w:sz w:val="22"/>
                <w:szCs w:val="22"/>
                <w:lang w:val="en-GB"/>
              </w:rPr>
              <w:t>:</w:t>
            </w:r>
          </w:p>
        </w:tc>
      </w:tr>
      <w:tr w:rsidR="00984F66" w:rsidRPr="000E18D6" w14:paraId="2A3D2E13" w14:textId="77777777" w:rsidTr="00EA2C3D">
        <w:tblPrEx>
          <w:jc w:val="center"/>
          <w:tblInd w:w="0" w:type="dxa"/>
          <w:tblCellMar>
            <w:left w:w="70" w:type="dxa"/>
            <w:right w:w="70" w:type="dxa"/>
          </w:tblCellMar>
          <w:tblLook w:val="0000" w:firstRow="0" w:lastRow="0" w:firstColumn="0" w:lastColumn="0" w:noHBand="0" w:noVBand="0"/>
        </w:tblPrEx>
        <w:trPr>
          <w:cantSplit/>
          <w:trHeight w:val="278"/>
          <w:jc w:val="center"/>
        </w:trPr>
        <w:tc>
          <w:tcPr>
            <w:tcW w:w="5000" w:type="pct"/>
            <w:gridSpan w:val="7"/>
            <w:vAlign w:val="center"/>
          </w:tcPr>
          <w:p w14:paraId="0EFA0FCF" w14:textId="77777777" w:rsidR="00984F66" w:rsidRPr="00984F66" w:rsidRDefault="00984F66" w:rsidP="00895407">
            <w:pPr>
              <w:pStyle w:val="Cmsor2"/>
              <w:rPr>
                <w:rFonts w:ascii="Times New Roman" w:hAnsi="Times New Roman"/>
                <w:bCs/>
                <w:sz w:val="22"/>
                <w:szCs w:val="22"/>
                <w:lang w:val="en-GB"/>
              </w:rPr>
            </w:pPr>
            <w:r w:rsidRPr="00984F66">
              <w:rPr>
                <w:rFonts w:ascii="Times New Roman" w:hAnsi="Times New Roman"/>
                <w:bCs/>
                <w:sz w:val="22"/>
                <w:szCs w:val="22"/>
                <w:lang w:val="en-GB"/>
              </w:rPr>
              <w:t>Attendance:</w:t>
            </w:r>
          </w:p>
        </w:tc>
      </w:tr>
      <w:tr w:rsidR="00984F66" w:rsidRPr="000E18D6" w14:paraId="789F4477" w14:textId="77777777" w:rsidTr="00EA2C3D">
        <w:tblPrEx>
          <w:jc w:val="center"/>
          <w:tblInd w:w="0" w:type="dxa"/>
          <w:tblCellMar>
            <w:left w:w="70" w:type="dxa"/>
            <w:right w:w="70" w:type="dxa"/>
          </w:tblCellMar>
          <w:tblLook w:val="0000" w:firstRow="0" w:lastRow="0" w:firstColumn="0" w:lastColumn="0" w:noHBand="0" w:noVBand="0"/>
        </w:tblPrEx>
        <w:trPr>
          <w:cantSplit/>
          <w:trHeight w:val="274"/>
          <w:jc w:val="center"/>
        </w:trPr>
        <w:tc>
          <w:tcPr>
            <w:tcW w:w="5000" w:type="pct"/>
            <w:gridSpan w:val="7"/>
          </w:tcPr>
          <w:p w14:paraId="68FACD34" w14:textId="7051CCFC" w:rsidR="00984F66" w:rsidRPr="00984F66" w:rsidRDefault="00984F66" w:rsidP="00895407">
            <w:pPr>
              <w:pStyle w:val="Lers"/>
              <w:jc w:val="left"/>
              <w:rPr>
                <w:rFonts w:ascii="Times New Roman" w:hAnsi="Times New Roman"/>
                <w:sz w:val="22"/>
                <w:szCs w:val="22"/>
                <w:lang w:val="en-GB"/>
              </w:rPr>
            </w:pPr>
            <w:r w:rsidRPr="00984F66">
              <w:rPr>
                <w:rFonts w:ascii="Times New Roman" w:hAnsi="Times New Roman"/>
                <w:sz w:val="22"/>
                <w:szCs w:val="22"/>
                <w:lang w:val="en-GB"/>
              </w:rPr>
              <w:t xml:space="preserve">compulsory </w:t>
            </w:r>
          </w:p>
        </w:tc>
      </w:tr>
      <w:tr w:rsidR="00984F66" w:rsidRPr="000E18D6" w14:paraId="0D6ECD40" w14:textId="77777777" w:rsidTr="00EA2C3D">
        <w:tblPrEx>
          <w:jc w:val="center"/>
          <w:tblInd w:w="0" w:type="dxa"/>
          <w:tblCellMar>
            <w:left w:w="70" w:type="dxa"/>
            <w:right w:w="70" w:type="dxa"/>
          </w:tblCellMar>
          <w:tblLook w:val="0000" w:firstRow="0" w:lastRow="0" w:firstColumn="0" w:lastColumn="0" w:noHBand="0" w:noVBand="0"/>
        </w:tblPrEx>
        <w:trPr>
          <w:cantSplit/>
          <w:trHeight w:val="257"/>
          <w:jc w:val="center"/>
        </w:trPr>
        <w:tc>
          <w:tcPr>
            <w:tcW w:w="5000" w:type="pct"/>
            <w:gridSpan w:val="7"/>
          </w:tcPr>
          <w:p w14:paraId="11127DBF" w14:textId="77777777" w:rsidR="00984F66" w:rsidRPr="00984F66" w:rsidRDefault="00984F66" w:rsidP="00895407">
            <w:pPr>
              <w:pStyle w:val="Cmsor2"/>
              <w:rPr>
                <w:rFonts w:ascii="Times New Roman" w:hAnsi="Times New Roman"/>
                <w:sz w:val="22"/>
                <w:szCs w:val="22"/>
                <w:lang w:val="en-GB"/>
              </w:rPr>
            </w:pPr>
            <w:r w:rsidRPr="00984F66">
              <w:rPr>
                <w:rFonts w:ascii="Times New Roman" w:hAnsi="Times New Roman"/>
                <w:sz w:val="22"/>
                <w:szCs w:val="22"/>
                <w:lang w:val="en-GB"/>
              </w:rPr>
              <w:t>Test papers, measurement records, reports, etc. (number, date)</w:t>
            </w:r>
          </w:p>
        </w:tc>
      </w:tr>
      <w:tr w:rsidR="00984F66" w:rsidRPr="000E18D6" w14:paraId="4C6B3E08" w14:textId="77777777" w:rsidTr="00EA2C3D">
        <w:tblPrEx>
          <w:jc w:val="center"/>
          <w:tblInd w:w="0" w:type="dxa"/>
          <w:tblCellMar>
            <w:left w:w="70" w:type="dxa"/>
            <w:right w:w="70" w:type="dxa"/>
          </w:tblCellMar>
          <w:tblLook w:val="0000" w:firstRow="0" w:lastRow="0" w:firstColumn="0" w:lastColumn="0" w:noHBand="0" w:noVBand="0"/>
        </w:tblPrEx>
        <w:trPr>
          <w:cantSplit/>
          <w:trHeight w:val="268"/>
          <w:jc w:val="center"/>
        </w:trPr>
        <w:tc>
          <w:tcPr>
            <w:tcW w:w="256" w:type="pct"/>
          </w:tcPr>
          <w:p w14:paraId="6EC4C0F3" w14:textId="77777777" w:rsidR="00984F66" w:rsidRPr="00984F66" w:rsidRDefault="00984F66" w:rsidP="00895407">
            <w:pPr>
              <w:pStyle w:val="Lers"/>
              <w:rPr>
                <w:rFonts w:ascii="Times New Roman" w:hAnsi="Times New Roman"/>
                <w:sz w:val="22"/>
                <w:szCs w:val="22"/>
                <w:lang w:val="en-GB"/>
              </w:rPr>
            </w:pPr>
            <w:r w:rsidRPr="00984F66">
              <w:rPr>
                <w:rFonts w:ascii="Times New Roman" w:hAnsi="Times New Roman"/>
                <w:sz w:val="22"/>
                <w:szCs w:val="22"/>
                <w:lang w:val="en-GB"/>
              </w:rPr>
              <w:t>1.</w:t>
            </w:r>
          </w:p>
        </w:tc>
        <w:tc>
          <w:tcPr>
            <w:tcW w:w="4744" w:type="pct"/>
            <w:gridSpan w:val="6"/>
          </w:tcPr>
          <w:p w14:paraId="0D2B2D08" w14:textId="4905FD9A" w:rsidR="00984F66" w:rsidRPr="00EA2C3D" w:rsidRDefault="00EA2C3D" w:rsidP="00895407">
            <w:pPr>
              <w:pStyle w:val="Lers"/>
              <w:rPr>
                <w:rFonts w:ascii="Times New Roman" w:hAnsi="Times New Roman"/>
                <w:sz w:val="22"/>
                <w:szCs w:val="22"/>
                <w:lang w:val="en-GB"/>
              </w:rPr>
            </w:pPr>
            <w:r w:rsidRPr="00EA2C3D">
              <w:rPr>
                <w:rFonts w:ascii="Times New Roman" w:hAnsi="Times New Roman"/>
                <w:sz w:val="22"/>
                <w:szCs w:val="22"/>
                <w:lang w:val="en-GB"/>
              </w:rPr>
              <w:t>Presentation + ppt presentation (max. 2*10 points= 20 points, min. 50%)</w:t>
            </w:r>
          </w:p>
        </w:tc>
      </w:tr>
      <w:tr w:rsidR="00EA2C3D" w:rsidRPr="000E18D6" w14:paraId="1D600521" w14:textId="77777777" w:rsidTr="00EA2C3D">
        <w:tblPrEx>
          <w:jc w:val="center"/>
          <w:tblInd w:w="0" w:type="dxa"/>
          <w:tblCellMar>
            <w:left w:w="70" w:type="dxa"/>
            <w:right w:w="70" w:type="dxa"/>
          </w:tblCellMar>
          <w:tblLook w:val="0000" w:firstRow="0" w:lastRow="0" w:firstColumn="0" w:lastColumn="0" w:noHBand="0" w:noVBand="0"/>
        </w:tblPrEx>
        <w:trPr>
          <w:cantSplit/>
          <w:trHeight w:val="268"/>
          <w:jc w:val="center"/>
        </w:trPr>
        <w:tc>
          <w:tcPr>
            <w:tcW w:w="256" w:type="pct"/>
          </w:tcPr>
          <w:p w14:paraId="08A8FFDE" w14:textId="5CC74CF9" w:rsidR="00EA2C3D" w:rsidRPr="00984F66" w:rsidRDefault="00EA2C3D" w:rsidP="00895407">
            <w:pPr>
              <w:pStyle w:val="Lers"/>
              <w:rPr>
                <w:rFonts w:ascii="Times New Roman" w:hAnsi="Times New Roman"/>
                <w:sz w:val="22"/>
                <w:szCs w:val="22"/>
                <w:lang w:val="en-GB"/>
              </w:rPr>
            </w:pPr>
            <w:r>
              <w:rPr>
                <w:rFonts w:ascii="Times New Roman" w:hAnsi="Times New Roman"/>
                <w:sz w:val="22"/>
                <w:szCs w:val="22"/>
                <w:lang w:val="en-GB"/>
              </w:rPr>
              <w:t xml:space="preserve">2. </w:t>
            </w:r>
          </w:p>
        </w:tc>
        <w:tc>
          <w:tcPr>
            <w:tcW w:w="4744" w:type="pct"/>
            <w:gridSpan w:val="6"/>
          </w:tcPr>
          <w:p w14:paraId="566C8CBD" w14:textId="25D3DD8A" w:rsidR="00EA2C3D" w:rsidRPr="00EA2C3D" w:rsidRDefault="00EA2C3D" w:rsidP="00895407">
            <w:pPr>
              <w:pStyle w:val="Lers"/>
              <w:rPr>
                <w:rFonts w:ascii="Times New Roman" w:hAnsi="Times New Roman"/>
                <w:sz w:val="22"/>
                <w:szCs w:val="22"/>
                <w:lang w:val="en-GB"/>
              </w:rPr>
            </w:pPr>
            <w:r>
              <w:rPr>
                <w:rFonts w:ascii="Times New Roman" w:hAnsi="Times New Roman"/>
                <w:sz w:val="22"/>
                <w:szCs w:val="22"/>
                <w:lang w:val="en-GB"/>
              </w:rPr>
              <w:t>Written exam (max.60 points, min. 40%)</w:t>
            </w:r>
          </w:p>
        </w:tc>
      </w:tr>
      <w:tr w:rsidR="00984F66" w:rsidRPr="000E18D6" w14:paraId="3EA2A628" w14:textId="77777777" w:rsidTr="00EA2C3D">
        <w:tblPrEx>
          <w:jc w:val="center"/>
          <w:tblInd w:w="0" w:type="dxa"/>
          <w:tblCellMar>
            <w:left w:w="70" w:type="dxa"/>
            <w:right w:w="70" w:type="dxa"/>
          </w:tblCellMar>
          <w:tblLook w:val="0000" w:firstRow="0" w:lastRow="0" w:firstColumn="0" w:lastColumn="0" w:noHBand="0" w:noVBand="0"/>
        </w:tblPrEx>
        <w:trPr>
          <w:cantSplit/>
          <w:trHeight w:val="257"/>
          <w:jc w:val="center"/>
        </w:trPr>
        <w:tc>
          <w:tcPr>
            <w:tcW w:w="5000" w:type="pct"/>
            <w:gridSpan w:val="7"/>
          </w:tcPr>
          <w:p w14:paraId="00545738" w14:textId="77777777" w:rsidR="00984F66" w:rsidRPr="00984F66" w:rsidRDefault="00984F66" w:rsidP="00895407">
            <w:pPr>
              <w:pStyle w:val="Cmsor2"/>
              <w:rPr>
                <w:rFonts w:ascii="Times New Roman" w:hAnsi="Times New Roman"/>
                <w:sz w:val="22"/>
                <w:szCs w:val="22"/>
                <w:lang w:val="en-GB"/>
              </w:rPr>
            </w:pPr>
            <w:r w:rsidRPr="00984F66">
              <w:rPr>
                <w:rFonts w:ascii="Times New Roman" w:hAnsi="Times New Roman"/>
                <w:sz w:val="22"/>
                <w:szCs w:val="22"/>
                <w:lang w:val="en-GB"/>
              </w:rPr>
              <w:t>Methods of qualification:</w:t>
            </w:r>
          </w:p>
        </w:tc>
      </w:tr>
      <w:tr w:rsidR="00984F66" w:rsidRPr="000E18D6" w14:paraId="391D5010" w14:textId="77777777" w:rsidTr="00EA2C3D">
        <w:tblPrEx>
          <w:jc w:val="center"/>
          <w:tblInd w:w="0" w:type="dxa"/>
          <w:tblCellMar>
            <w:left w:w="70" w:type="dxa"/>
            <w:right w:w="70" w:type="dxa"/>
          </w:tblCellMar>
          <w:tblLook w:val="0000" w:firstRow="0" w:lastRow="0" w:firstColumn="0" w:lastColumn="0" w:noHBand="0" w:noVBand="0"/>
        </w:tblPrEx>
        <w:trPr>
          <w:cantSplit/>
          <w:trHeight w:val="1134"/>
          <w:jc w:val="center"/>
        </w:trPr>
        <w:tc>
          <w:tcPr>
            <w:tcW w:w="5000" w:type="pct"/>
            <w:gridSpan w:val="7"/>
          </w:tcPr>
          <w:p w14:paraId="00CD29D3" w14:textId="77777777" w:rsidR="00984F66" w:rsidRPr="00984F66" w:rsidRDefault="00984F66" w:rsidP="00895407">
            <w:pPr>
              <w:rPr>
                <w:bCs/>
                <w:sz w:val="22"/>
                <w:szCs w:val="22"/>
                <w:lang w:val="en-GB"/>
              </w:rPr>
            </w:pPr>
            <w:r w:rsidRPr="00984F66">
              <w:rPr>
                <w:bCs/>
                <w:sz w:val="22"/>
                <w:szCs w:val="22"/>
                <w:lang w:val="en-GB"/>
              </w:rPr>
              <w:t xml:space="preserve">Basis of exam’s marking: </w:t>
            </w:r>
          </w:p>
          <w:p w14:paraId="59CA249F" w14:textId="77777777" w:rsidR="00984F66" w:rsidRPr="00984F66" w:rsidRDefault="00984F66" w:rsidP="00984F66">
            <w:pPr>
              <w:widowControl w:val="0"/>
              <w:numPr>
                <w:ilvl w:val="0"/>
                <w:numId w:val="2"/>
              </w:numPr>
              <w:autoSpaceDE w:val="0"/>
              <w:autoSpaceDN w:val="0"/>
              <w:adjustRightInd w:val="0"/>
              <w:spacing w:before="40" w:after="40"/>
              <w:rPr>
                <w:bCs/>
                <w:sz w:val="22"/>
                <w:szCs w:val="22"/>
                <w:lang w:val="en-GB"/>
              </w:rPr>
            </w:pPr>
            <w:r w:rsidRPr="00984F66">
              <w:rPr>
                <w:bCs/>
                <w:sz w:val="22"/>
                <w:szCs w:val="22"/>
                <w:lang w:val="en-GB"/>
              </w:rPr>
              <w:t xml:space="preserve">attendance at lectures, </w:t>
            </w:r>
          </w:p>
          <w:p w14:paraId="3AEBBE9B" w14:textId="7E406705" w:rsidR="00984F66" w:rsidRPr="00984F66" w:rsidRDefault="00984F66" w:rsidP="00984F66">
            <w:pPr>
              <w:widowControl w:val="0"/>
              <w:numPr>
                <w:ilvl w:val="0"/>
                <w:numId w:val="2"/>
              </w:numPr>
              <w:autoSpaceDE w:val="0"/>
              <w:autoSpaceDN w:val="0"/>
              <w:adjustRightInd w:val="0"/>
              <w:spacing w:before="40" w:after="40"/>
              <w:rPr>
                <w:bCs/>
                <w:sz w:val="22"/>
                <w:szCs w:val="22"/>
                <w:lang w:val="en-GB"/>
              </w:rPr>
            </w:pPr>
            <w:r w:rsidRPr="00984F66">
              <w:rPr>
                <w:bCs/>
                <w:sz w:val="22"/>
                <w:szCs w:val="22"/>
                <w:lang w:val="en-GB"/>
              </w:rPr>
              <w:t>passing written examination (</w:t>
            </w:r>
            <w:r w:rsidR="00EA2C3D">
              <w:rPr>
                <w:bCs/>
                <w:sz w:val="22"/>
                <w:szCs w:val="22"/>
                <w:lang w:val="en-GB"/>
              </w:rPr>
              <w:t>6</w:t>
            </w:r>
            <w:r w:rsidRPr="00984F66">
              <w:rPr>
                <w:bCs/>
                <w:sz w:val="22"/>
                <w:szCs w:val="22"/>
                <w:lang w:val="en-GB"/>
              </w:rPr>
              <w:t xml:space="preserve">0 points, minimum 40%) at the end of the semester, </w:t>
            </w:r>
          </w:p>
          <w:p w14:paraId="00FC1342" w14:textId="0132E3A2" w:rsidR="00984F66" w:rsidRPr="00984F66" w:rsidRDefault="007B600D" w:rsidP="00984F66">
            <w:pPr>
              <w:widowControl w:val="0"/>
              <w:numPr>
                <w:ilvl w:val="0"/>
                <w:numId w:val="2"/>
              </w:numPr>
              <w:autoSpaceDE w:val="0"/>
              <w:autoSpaceDN w:val="0"/>
              <w:adjustRightInd w:val="0"/>
              <w:spacing w:before="40" w:after="40"/>
              <w:rPr>
                <w:bCs/>
                <w:sz w:val="22"/>
                <w:szCs w:val="22"/>
                <w:lang w:val="en-GB"/>
              </w:rPr>
            </w:pPr>
            <w:r>
              <w:rPr>
                <w:bCs/>
                <w:sz w:val="22"/>
                <w:szCs w:val="22"/>
                <w:lang w:val="en-GB"/>
              </w:rPr>
              <w:t xml:space="preserve">presentation </w:t>
            </w:r>
            <w:r w:rsidR="009024E9">
              <w:rPr>
                <w:bCs/>
                <w:sz w:val="22"/>
                <w:szCs w:val="22"/>
                <w:lang w:val="en-GB"/>
              </w:rPr>
              <w:t xml:space="preserve">in project groups </w:t>
            </w:r>
            <w:r>
              <w:rPr>
                <w:bCs/>
                <w:sz w:val="22"/>
                <w:szCs w:val="22"/>
                <w:lang w:val="en-GB"/>
              </w:rPr>
              <w:t>and submit ppt of presentation</w:t>
            </w:r>
            <w:r w:rsidR="00984F66" w:rsidRPr="00984F66">
              <w:rPr>
                <w:bCs/>
                <w:sz w:val="22"/>
                <w:szCs w:val="22"/>
                <w:lang w:val="en-GB"/>
              </w:rPr>
              <w:t xml:space="preserve">. </w:t>
            </w:r>
          </w:p>
          <w:p w14:paraId="20A9F21E" w14:textId="77777777" w:rsidR="00EA2C3D" w:rsidRDefault="00EA2C3D" w:rsidP="00EA2C3D">
            <w:pPr>
              <w:rPr>
                <w:bCs/>
                <w:sz w:val="22"/>
                <w:szCs w:val="22"/>
                <w:lang w:val="en-GB"/>
              </w:rPr>
            </w:pPr>
          </w:p>
          <w:p w14:paraId="2AB83FB8" w14:textId="0A3EA76F" w:rsidR="00EA2C3D" w:rsidRPr="00EA2C3D" w:rsidRDefault="00EA2C3D" w:rsidP="00EA2C3D">
            <w:pPr>
              <w:rPr>
                <w:bCs/>
                <w:sz w:val="22"/>
                <w:szCs w:val="22"/>
                <w:lang w:val="en-GB"/>
              </w:rPr>
            </w:pPr>
            <w:r w:rsidRPr="00EA2C3D">
              <w:rPr>
                <w:bCs/>
                <w:sz w:val="22"/>
                <w:szCs w:val="22"/>
                <w:lang w:val="en-GB"/>
              </w:rPr>
              <w:t>Marking: max. 60 points for written examination and + 20 points for essay/presentation, all together max. 80 points</w:t>
            </w:r>
          </w:p>
          <w:p w14:paraId="79714A5C" w14:textId="5A445D71" w:rsidR="00EA2C3D" w:rsidRPr="00EA2C3D" w:rsidRDefault="00EA2C3D" w:rsidP="00EA2C3D">
            <w:pPr>
              <w:rPr>
                <w:bCs/>
                <w:sz w:val="22"/>
                <w:szCs w:val="22"/>
                <w:lang w:val="en-GB"/>
              </w:rPr>
            </w:pPr>
            <w:r w:rsidRPr="00EA2C3D">
              <w:rPr>
                <w:bCs/>
                <w:sz w:val="22"/>
                <w:szCs w:val="22"/>
                <w:lang w:val="en-GB"/>
              </w:rPr>
              <w:t>0-31 points: fail (1), 32-43 points: pass (2), 44-55 points: satisfactory (3</w:t>
            </w:r>
            <w:r w:rsidR="00B22BB2" w:rsidRPr="00EA2C3D">
              <w:rPr>
                <w:bCs/>
                <w:sz w:val="22"/>
                <w:szCs w:val="22"/>
                <w:lang w:val="en-GB"/>
              </w:rPr>
              <w:t>), 56</w:t>
            </w:r>
            <w:r w:rsidRPr="00EA2C3D">
              <w:rPr>
                <w:bCs/>
                <w:sz w:val="22"/>
                <w:szCs w:val="22"/>
                <w:lang w:val="en-GB"/>
              </w:rPr>
              <w:t>--67points: good (4), 68-80 points: excellent (5)</w:t>
            </w:r>
          </w:p>
          <w:p w14:paraId="756CA726" w14:textId="77777777" w:rsidR="00984F66" w:rsidRPr="00984F66" w:rsidRDefault="00984F66" w:rsidP="00895407">
            <w:pPr>
              <w:rPr>
                <w:bCs/>
                <w:sz w:val="22"/>
                <w:szCs w:val="22"/>
                <w:lang w:val="en-GB"/>
              </w:rPr>
            </w:pPr>
          </w:p>
          <w:p w14:paraId="645557FC" w14:textId="7CA15CC9" w:rsidR="00984F66" w:rsidRPr="000E18D6" w:rsidRDefault="00984F66" w:rsidP="00895407">
            <w:pPr>
              <w:rPr>
                <w:b/>
                <w:lang w:val="en-GB"/>
              </w:rPr>
            </w:pPr>
            <w:r w:rsidRPr="00984F66">
              <w:rPr>
                <w:bCs/>
                <w:sz w:val="22"/>
                <w:szCs w:val="22"/>
                <w:lang w:val="en-GB"/>
              </w:rPr>
              <w:t>In case of mid-semester mark fail (1), correction opportunities are available according to 17§(6) of Education and Examination Regulations .</w:t>
            </w:r>
            <w:r w:rsidRPr="000E18D6">
              <w:rPr>
                <w:b/>
                <w:lang w:val="en-GB"/>
              </w:rPr>
              <w:t xml:space="preserve"> </w:t>
            </w:r>
          </w:p>
        </w:tc>
      </w:tr>
      <w:tr w:rsidR="00054B1F" w:rsidRPr="009A1714" w14:paraId="50AAC13C" w14:textId="77777777" w:rsidTr="00EA2C3D">
        <w:tc>
          <w:tcPr>
            <w:tcW w:w="5000" w:type="pct"/>
            <w:gridSpan w:val="7"/>
            <w:shd w:val="clear" w:color="auto" w:fill="AEAAAA" w:themeFill="background2" w:themeFillShade="BF"/>
          </w:tcPr>
          <w:p w14:paraId="5A2175A2" w14:textId="77777777" w:rsidR="00054B1F" w:rsidRPr="009A1714" w:rsidRDefault="00054B1F" w:rsidP="00BD008B">
            <w:pPr>
              <w:jc w:val="center"/>
              <w:rPr>
                <w:b/>
                <w:i/>
                <w:sz w:val="22"/>
                <w:szCs w:val="22"/>
                <w:lang w:val="en-GB"/>
              </w:rPr>
            </w:pPr>
            <w:r w:rsidRPr="009A1714">
              <w:rPr>
                <w:b/>
                <w:i/>
                <w:sz w:val="22"/>
                <w:szCs w:val="22"/>
                <w:lang w:val="en-GB"/>
              </w:rPr>
              <w:t>Professional competencies:</w:t>
            </w:r>
          </w:p>
        </w:tc>
      </w:tr>
      <w:tr w:rsidR="00054B1F" w:rsidRPr="009A1714" w14:paraId="5816B5A0" w14:textId="77777777" w:rsidTr="00EA2C3D">
        <w:tc>
          <w:tcPr>
            <w:tcW w:w="5000" w:type="pct"/>
            <w:gridSpan w:val="7"/>
          </w:tcPr>
          <w:p w14:paraId="41C3FE87" w14:textId="77777777" w:rsidR="00054B1F" w:rsidRPr="009A1714" w:rsidRDefault="00054B1F" w:rsidP="00BD008B">
            <w:pPr>
              <w:jc w:val="both"/>
              <w:rPr>
                <w:sz w:val="22"/>
                <w:szCs w:val="22"/>
                <w:lang w:val="en-GB"/>
              </w:rPr>
            </w:pPr>
            <w:r w:rsidRPr="009A1714">
              <w:rPr>
                <w:sz w:val="22"/>
                <w:szCs w:val="22"/>
                <w:lang w:val="en-GB"/>
              </w:rPr>
              <w:t xml:space="preserve">Comprehensive knowledge of the basic features and interrelations of environmental elements and systems, as well as of the environmentally harmful substances affecting them. </w:t>
            </w:r>
          </w:p>
          <w:p w14:paraId="170851D2" w14:textId="77777777" w:rsidR="00054B1F" w:rsidRPr="009A1714" w:rsidRDefault="00054B1F" w:rsidP="00BD008B">
            <w:pPr>
              <w:jc w:val="both"/>
              <w:rPr>
                <w:sz w:val="22"/>
                <w:szCs w:val="22"/>
                <w:lang w:val="en-GB"/>
              </w:rPr>
            </w:pPr>
            <w:r w:rsidRPr="009A1714">
              <w:rPr>
                <w:sz w:val="22"/>
                <w:szCs w:val="22"/>
                <w:lang w:val="en-GB"/>
              </w:rPr>
              <w:t xml:space="preserve">Knowledge of major environmental technologies, equipment and structures associated with each technology, including the functioning and operation thereof. </w:t>
            </w:r>
          </w:p>
          <w:p w14:paraId="3537916C" w14:textId="77777777" w:rsidR="00054B1F" w:rsidRPr="009A1714" w:rsidRDefault="00054B1F" w:rsidP="00BD008B">
            <w:pPr>
              <w:jc w:val="both"/>
              <w:rPr>
                <w:sz w:val="22"/>
                <w:szCs w:val="22"/>
                <w:lang w:val="en-GB"/>
              </w:rPr>
            </w:pPr>
            <w:r w:rsidRPr="009A1714">
              <w:rPr>
                <w:sz w:val="22"/>
                <w:szCs w:val="22"/>
                <w:lang w:val="en-GB"/>
              </w:rPr>
              <w:t xml:space="preserve">Able to perform basic tests of the quantity and quality characteristics of environmental elements and systems by state-of-the-art measuring instruments; to draw up and implement measurement plans; and to evaluate data. </w:t>
            </w:r>
          </w:p>
          <w:p w14:paraId="2FD2B58D" w14:textId="77777777" w:rsidR="00054B1F" w:rsidRPr="009A1714" w:rsidRDefault="00054B1F" w:rsidP="00BD008B">
            <w:pPr>
              <w:jc w:val="both"/>
              <w:rPr>
                <w:sz w:val="22"/>
                <w:szCs w:val="22"/>
                <w:lang w:val="en-GB"/>
              </w:rPr>
            </w:pPr>
            <w:r w:rsidRPr="009A1714">
              <w:rPr>
                <w:sz w:val="22"/>
                <w:szCs w:val="22"/>
                <w:lang w:val="en-GB"/>
              </w:rPr>
              <w:t xml:space="preserve">Able to solve tasks of water, soil, air, radiation, and noise protection, as well as of waste treatment and processing at proposal level; to participate in preparing decisions; to perform authority audits; and to take part in the operation of these technologies. </w:t>
            </w:r>
          </w:p>
          <w:p w14:paraId="418BA97B" w14:textId="77777777" w:rsidR="00054B1F" w:rsidRPr="009A1714" w:rsidRDefault="00054B1F" w:rsidP="00BD008B">
            <w:pPr>
              <w:jc w:val="both"/>
              <w:rPr>
                <w:sz w:val="22"/>
                <w:szCs w:val="22"/>
                <w:lang w:val="en-GB"/>
              </w:rPr>
            </w:pPr>
            <w:r w:rsidRPr="009A1714">
              <w:rPr>
                <w:sz w:val="22"/>
                <w:szCs w:val="22"/>
                <w:lang w:val="en-GB"/>
              </w:rPr>
              <w:t xml:space="preserve">Able to carry out management duties subject to sufficient professional experience. </w:t>
            </w:r>
          </w:p>
          <w:p w14:paraId="25F1A38F" w14:textId="77777777" w:rsidR="00054B1F" w:rsidRPr="009A1714" w:rsidRDefault="00054B1F" w:rsidP="00BD008B">
            <w:pPr>
              <w:jc w:val="both"/>
              <w:rPr>
                <w:sz w:val="22"/>
                <w:szCs w:val="22"/>
                <w:lang w:val="en-GB"/>
              </w:rPr>
            </w:pPr>
            <w:r w:rsidRPr="009A1714">
              <w:rPr>
                <w:sz w:val="22"/>
                <w:szCs w:val="22"/>
                <w:lang w:val="en-GB"/>
              </w:rPr>
              <w:t xml:space="preserve">Able to reveal deficiencies in the technologies applied and process risks and to initiate mitigation measures after getting familiarized with the technology concerned. </w:t>
            </w:r>
          </w:p>
          <w:p w14:paraId="421C708D" w14:textId="77777777" w:rsidR="00054B1F" w:rsidRPr="009A1714" w:rsidRDefault="00054B1F" w:rsidP="00BD008B">
            <w:pPr>
              <w:jc w:val="both"/>
              <w:rPr>
                <w:b/>
                <w:i/>
                <w:sz w:val="22"/>
                <w:szCs w:val="22"/>
                <w:lang w:val="en-GB"/>
              </w:rPr>
            </w:pPr>
            <w:r w:rsidRPr="009A1714">
              <w:rPr>
                <w:sz w:val="22"/>
                <w:szCs w:val="22"/>
                <w:lang w:val="en-GB"/>
              </w:rPr>
              <w:t>Constantly upgrading their knowledge of environment protection by attending organized professional development training courses.</w:t>
            </w:r>
          </w:p>
        </w:tc>
      </w:tr>
      <w:tr w:rsidR="00054B1F" w:rsidRPr="009A1714" w14:paraId="69A3FF05" w14:textId="77777777" w:rsidTr="00EA2C3D">
        <w:tc>
          <w:tcPr>
            <w:tcW w:w="5000" w:type="pct"/>
            <w:gridSpan w:val="7"/>
            <w:shd w:val="clear" w:color="auto" w:fill="AEAAAA" w:themeFill="background2" w:themeFillShade="BF"/>
          </w:tcPr>
          <w:p w14:paraId="7A42A43F" w14:textId="77777777" w:rsidR="00054B1F" w:rsidRPr="009A1714" w:rsidRDefault="00054B1F" w:rsidP="00BD008B">
            <w:pPr>
              <w:jc w:val="center"/>
              <w:rPr>
                <w:b/>
                <w:i/>
                <w:sz w:val="22"/>
                <w:szCs w:val="22"/>
                <w:lang w:val="en-GB"/>
              </w:rPr>
            </w:pPr>
            <w:r w:rsidRPr="009A1714">
              <w:rPr>
                <w:b/>
                <w:i/>
                <w:sz w:val="22"/>
                <w:szCs w:val="22"/>
                <w:lang w:val="en-GB"/>
              </w:rPr>
              <w:t>Literature:</w:t>
            </w:r>
          </w:p>
        </w:tc>
      </w:tr>
      <w:tr w:rsidR="00054B1F" w:rsidRPr="009A1714" w14:paraId="0F7A129E" w14:textId="77777777" w:rsidTr="00EA2C3D">
        <w:trPr>
          <w:trHeight w:val="1538"/>
        </w:trPr>
        <w:tc>
          <w:tcPr>
            <w:tcW w:w="5000" w:type="pct"/>
            <w:gridSpan w:val="7"/>
          </w:tcPr>
          <w:p w14:paraId="537B3FA7" w14:textId="77777777" w:rsidR="00054B1F" w:rsidRPr="009A1714" w:rsidRDefault="00054B1F" w:rsidP="00BD008B">
            <w:pPr>
              <w:rPr>
                <w:sz w:val="22"/>
                <w:szCs w:val="22"/>
                <w:lang w:val="en-GB"/>
              </w:rPr>
            </w:pPr>
            <w:r w:rsidRPr="009A1714">
              <w:rPr>
                <w:sz w:val="22"/>
                <w:szCs w:val="22"/>
                <w:lang w:val="en-GB"/>
              </w:rPr>
              <w:t>Nicholas P. Cheremisinoff, Ph.D.: Handbook of water and wastewater</w:t>
            </w:r>
          </w:p>
          <w:p w14:paraId="3A45C588" w14:textId="77777777" w:rsidR="00054B1F" w:rsidRPr="009A1714" w:rsidRDefault="00054B1F" w:rsidP="00BD008B">
            <w:pPr>
              <w:rPr>
                <w:sz w:val="22"/>
                <w:szCs w:val="22"/>
                <w:lang w:val="en-GB"/>
              </w:rPr>
            </w:pPr>
            <w:r w:rsidRPr="009A1714">
              <w:rPr>
                <w:sz w:val="22"/>
                <w:szCs w:val="22"/>
                <w:lang w:val="en-GB"/>
              </w:rPr>
              <w:t>treatment technologies, ISBN: 0-7506-7498-9, in e-learning system</w:t>
            </w:r>
          </w:p>
          <w:p w14:paraId="21B7C069" w14:textId="77777777" w:rsidR="00054B1F" w:rsidRDefault="00054B1F" w:rsidP="00BD008B">
            <w:pPr>
              <w:rPr>
                <w:sz w:val="22"/>
                <w:szCs w:val="22"/>
                <w:lang w:val="en-GB"/>
              </w:rPr>
            </w:pPr>
            <w:r w:rsidRPr="009A1714">
              <w:rPr>
                <w:sz w:val="22"/>
                <w:szCs w:val="22"/>
                <w:lang w:val="en-GB"/>
              </w:rPr>
              <w:t>Dr. Michael R. Templeton, Prof. David Butler:</w:t>
            </w:r>
            <w:r>
              <w:rPr>
                <w:sz w:val="22"/>
                <w:szCs w:val="22"/>
                <w:lang w:val="en-GB"/>
              </w:rPr>
              <w:t xml:space="preserve"> </w:t>
            </w:r>
            <w:r w:rsidRPr="009A1714">
              <w:rPr>
                <w:sz w:val="22"/>
                <w:szCs w:val="22"/>
                <w:lang w:val="en-GB"/>
              </w:rPr>
              <w:t>Introduction to wastewater treatment in e-learning system</w:t>
            </w:r>
            <w:r>
              <w:rPr>
                <w:sz w:val="22"/>
                <w:szCs w:val="22"/>
                <w:lang w:val="en-GB"/>
              </w:rPr>
              <w:t>, bookboon.com, 2011., ISBN: 978-87-7681-843-2</w:t>
            </w:r>
          </w:p>
          <w:p w14:paraId="215D32FF" w14:textId="77777777" w:rsidR="00054B1F" w:rsidRPr="009A1714" w:rsidRDefault="00054B1F" w:rsidP="00BD008B">
            <w:pPr>
              <w:rPr>
                <w:sz w:val="22"/>
                <w:szCs w:val="22"/>
                <w:lang w:val="en-GB"/>
              </w:rPr>
            </w:pPr>
            <w:r w:rsidRPr="0052100D">
              <w:rPr>
                <w:sz w:val="22"/>
                <w:szCs w:val="22"/>
                <w:lang w:val="en-GB"/>
              </w:rPr>
              <w:t>Frank Spellman</w:t>
            </w:r>
            <w:r>
              <w:rPr>
                <w:sz w:val="22"/>
                <w:szCs w:val="22"/>
                <w:lang w:val="en-GB"/>
              </w:rPr>
              <w:t xml:space="preserve">: </w:t>
            </w:r>
            <w:r w:rsidRPr="0052100D">
              <w:rPr>
                <w:sz w:val="22"/>
                <w:szCs w:val="22"/>
                <w:lang w:val="en-GB"/>
              </w:rPr>
              <w:t>Water and Wastewater Treatment</w:t>
            </w:r>
            <w:r>
              <w:rPr>
                <w:sz w:val="22"/>
                <w:szCs w:val="22"/>
                <w:lang w:val="en-GB"/>
              </w:rPr>
              <w:t xml:space="preserve">, </w:t>
            </w:r>
            <w:r w:rsidRPr="00313050">
              <w:rPr>
                <w:sz w:val="22"/>
                <w:szCs w:val="22"/>
                <w:lang w:val="en-GB"/>
              </w:rPr>
              <w:t>Taylor &amp; Francis Inc</w:t>
            </w:r>
            <w:r>
              <w:rPr>
                <w:sz w:val="22"/>
                <w:szCs w:val="22"/>
                <w:lang w:val="en-GB"/>
              </w:rPr>
              <w:t xml:space="preserve">, 2012, </w:t>
            </w:r>
            <w:r w:rsidRPr="00313050">
              <w:rPr>
                <w:sz w:val="22"/>
                <w:szCs w:val="22"/>
                <w:lang w:val="en-GB"/>
              </w:rPr>
              <w:t>ISBN: 9781439854006</w:t>
            </w:r>
          </w:p>
        </w:tc>
      </w:tr>
    </w:tbl>
    <w:p w14:paraId="2247DF5D" w14:textId="77777777" w:rsidR="00087DDC" w:rsidRDefault="00087DDC"/>
    <w:sectPr w:rsidR="00087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2EA8"/>
    <w:multiLevelType w:val="hybridMultilevel"/>
    <w:tmpl w:val="ED6E44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2BC69DD"/>
    <w:multiLevelType w:val="hybridMultilevel"/>
    <w:tmpl w:val="3542872E"/>
    <w:lvl w:ilvl="0" w:tplc="C3FAD9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00177147">
    <w:abstractNumId w:val="0"/>
  </w:num>
  <w:num w:numId="2" w16cid:durableId="1984852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1F"/>
    <w:rsid w:val="00054B1F"/>
    <w:rsid w:val="00087DDC"/>
    <w:rsid w:val="001231FA"/>
    <w:rsid w:val="0016082D"/>
    <w:rsid w:val="00243E92"/>
    <w:rsid w:val="0025172D"/>
    <w:rsid w:val="0025241A"/>
    <w:rsid w:val="00376014"/>
    <w:rsid w:val="0041703A"/>
    <w:rsid w:val="0053490E"/>
    <w:rsid w:val="006A6362"/>
    <w:rsid w:val="006E0F19"/>
    <w:rsid w:val="007B600D"/>
    <w:rsid w:val="009024E9"/>
    <w:rsid w:val="00984F66"/>
    <w:rsid w:val="00AC6F01"/>
    <w:rsid w:val="00AE6478"/>
    <w:rsid w:val="00B22BB2"/>
    <w:rsid w:val="00E14594"/>
    <w:rsid w:val="00EA2C3D"/>
    <w:rsid w:val="00FF6F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A98D"/>
  <w15:chartTrackingRefBased/>
  <w15:docId w15:val="{345194C9-99A5-4474-8719-92CCE3B1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4B1F"/>
    <w:pPr>
      <w:spacing w:after="0" w:line="240" w:lineRule="auto"/>
    </w:pPr>
    <w:rPr>
      <w:rFonts w:ascii="Times New Roman" w:eastAsia="Times New Roman" w:hAnsi="Times New Roman" w:cs="Times New Roman"/>
      <w:kern w:val="0"/>
      <w:sz w:val="20"/>
      <w:szCs w:val="20"/>
      <w:lang w:eastAsia="hu-HU"/>
      <w14:ligatures w14:val="none"/>
    </w:rPr>
  </w:style>
  <w:style w:type="paragraph" w:styleId="Cmsor2">
    <w:name w:val="heading 2"/>
    <w:basedOn w:val="Norml"/>
    <w:next w:val="Norml"/>
    <w:link w:val="Cmsor2Char"/>
    <w:qFormat/>
    <w:rsid w:val="00984F66"/>
    <w:pPr>
      <w:keepNext/>
      <w:widowControl w:val="0"/>
      <w:autoSpaceDE w:val="0"/>
      <w:autoSpaceDN w:val="0"/>
      <w:adjustRightInd w:val="0"/>
      <w:spacing w:before="40" w:after="40"/>
      <w:outlineLvl w:val="1"/>
    </w:pPr>
    <w:rPr>
      <w:rFonts w:ascii="Arial" w:hAnsi="Arial"/>
      <w:i/>
      <w:iCs/>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984F66"/>
    <w:rPr>
      <w:rFonts w:ascii="Arial" w:eastAsia="Times New Roman" w:hAnsi="Arial" w:cs="Times New Roman"/>
      <w:i/>
      <w:iCs/>
      <w:kern w:val="0"/>
      <w:sz w:val="20"/>
      <w:szCs w:val="24"/>
      <w14:ligatures w14:val="none"/>
    </w:rPr>
  </w:style>
  <w:style w:type="paragraph" w:customStyle="1" w:styleId="Lers">
    <w:name w:val="Leírás"/>
    <w:basedOn w:val="Norml"/>
    <w:rsid w:val="00984F66"/>
    <w:pPr>
      <w:widowControl w:val="0"/>
      <w:autoSpaceDE w:val="0"/>
      <w:autoSpaceDN w:val="0"/>
      <w:adjustRightInd w:val="0"/>
      <w:spacing w:before="40" w:after="40"/>
      <w:jc w:val="both"/>
    </w:pPr>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4118</Characters>
  <Application>Microsoft Office Word</Application>
  <DocSecurity>0</DocSecurity>
  <Lines>34</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Bodáné Dr. Kendrovics Rita</dc:creator>
  <cp:keywords/>
  <dc:description/>
  <cp:lastModifiedBy>Bodáné Dr. Kendrovics Rita</cp:lastModifiedBy>
  <cp:revision>12</cp:revision>
  <dcterms:created xsi:type="dcterms:W3CDTF">2026-02-15T20:01:00Z</dcterms:created>
  <dcterms:modified xsi:type="dcterms:W3CDTF">2026-02-15T20:11:00Z</dcterms:modified>
</cp:coreProperties>
</file>