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920"/>
        <w:gridCol w:w="2281"/>
        <w:gridCol w:w="2009"/>
        <w:gridCol w:w="1818"/>
      </w:tblGrid>
      <w:tr w:rsidR="00347FB7" w:rsidRPr="00E366AA" w14:paraId="3C256D75" w14:textId="77777777" w:rsidTr="001D7217">
        <w:trPr>
          <w:jc w:val="center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17AA" w14:textId="77777777" w:rsidR="00347FB7" w:rsidRPr="00E366AA" w:rsidRDefault="00347FB7" w:rsidP="005D7FED">
            <w:pPr>
              <w:jc w:val="both"/>
              <w:rPr>
                <w:b/>
                <w:i/>
                <w:sz w:val="22"/>
                <w:szCs w:val="22"/>
                <w:lang w:val="en-GB"/>
              </w:rPr>
            </w:pPr>
            <w:r w:rsidRPr="00E366AA">
              <w:rPr>
                <w:b/>
                <w:i/>
                <w:sz w:val="22"/>
                <w:szCs w:val="22"/>
                <w:lang w:val="en-GB"/>
              </w:rPr>
              <w:t>Title of the course:</w:t>
            </w:r>
          </w:p>
          <w:p w14:paraId="0C43998C" w14:textId="2A33AD4F" w:rsidR="00347FB7" w:rsidRPr="00E366AA" w:rsidRDefault="00347FB7" w:rsidP="005D7FED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E366AA">
              <w:rPr>
                <w:b/>
                <w:sz w:val="22"/>
                <w:szCs w:val="22"/>
                <w:lang w:val="en-GB"/>
              </w:rPr>
              <w:t>Chemistry I</w:t>
            </w:r>
            <w:r w:rsidR="00E366AA">
              <w:rPr>
                <w:b/>
                <w:sz w:val="22"/>
                <w:szCs w:val="22"/>
                <w:lang w:val="en-GB"/>
              </w:rPr>
              <w:t>I</w:t>
            </w:r>
            <w:r w:rsidRPr="00E366AA">
              <w:rPr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3999" w14:textId="77777777" w:rsidR="00347FB7" w:rsidRPr="00E366AA" w:rsidRDefault="00347FB7" w:rsidP="005D7FED">
            <w:pPr>
              <w:jc w:val="both"/>
              <w:rPr>
                <w:b/>
                <w:i/>
                <w:sz w:val="22"/>
                <w:szCs w:val="22"/>
                <w:lang w:val="en-GB"/>
              </w:rPr>
            </w:pPr>
            <w:r w:rsidRPr="00E366AA">
              <w:rPr>
                <w:b/>
                <w:i/>
                <w:sz w:val="22"/>
                <w:szCs w:val="22"/>
                <w:lang w:val="en-GB"/>
              </w:rPr>
              <w:t>NEPTUN-code:</w:t>
            </w:r>
          </w:p>
          <w:p w14:paraId="24BC5CBA" w14:textId="2FF75D2A" w:rsidR="00347FB7" w:rsidRPr="00E366AA" w:rsidRDefault="00982C3F" w:rsidP="005D7FED">
            <w:pPr>
              <w:jc w:val="both"/>
              <w:rPr>
                <w:sz w:val="22"/>
                <w:szCs w:val="22"/>
                <w:lang w:val="en-GB"/>
              </w:rPr>
            </w:pPr>
            <w:r w:rsidRPr="00E366AA">
              <w:rPr>
                <w:sz w:val="22"/>
                <w:szCs w:val="22"/>
                <w:lang w:val="en-GB"/>
              </w:rPr>
              <w:t>RMXCA2KBNF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39C" w14:textId="77777777" w:rsidR="00347FB7" w:rsidRPr="00E366AA" w:rsidRDefault="00347FB7" w:rsidP="005D7FED">
            <w:pPr>
              <w:jc w:val="both"/>
              <w:rPr>
                <w:i/>
                <w:sz w:val="22"/>
                <w:szCs w:val="22"/>
                <w:lang w:val="en-GB"/>
              </w:rPr>
            </w:pPr>
            <w:r w:rsidRPr="00E366AA">
              <w:rPr>
                <w:b/>
                <w:i/>
                <w:sz w:val="22"/>
                <w:szCs w:val="22"/>
                <w:lang w:val="en-GB"/>
              </w:rPr>
              <w:t>Weekly teaching hours:</w:t>
            </w:r>
            <w:r w:rsidRPr="00E366A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366AA">
              <w:rPr>
                <w:i/>
                <w:sz w:val="22"/>
                <w:szCs w:val="22"/>
                <w:lang w:val="en-GB"/>
              </w:rPr>
              <w:t>l+cw+lw</w:t>
            </w:r>
            <w:proofErr w:type="spellEnd"/>
          </w:p>
          <w:p w14:paraId="0FE901EC" w14:textId="77777777" w:rsidR="00347FB7" w:rsidRPr="00E366AA" w:rsidRDefault="00347FB7" w:rsidP="005D7FED">
            <w:pPr>
              <w:jc w:val="both"/>
              <w:rPr>
                <w:sz w:val="22"/>
                <w:szCs w:val="22"/>
                <w:lang w:val="en-GB"/>
              </w:rPr>
            </w:pPr>
            <w:r w:rsidRPr="00E366AA">
              <w:rPr>
                <w:sz w:val="22"/>
                <w:szCs w:val="22"/>
                <w:lang w:val="en-GB"/>
              </w:rPr>
              <w:t>2+0+2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83F0" w14:textId="77777777" w:rsidR="00347FB7" w:rsidRPr="00E366AA" w:rsidRDefault="00347FB7" w:rsidP="005D7FED">
            <w:pPr>
              <w:jc w:val="both"/>
              <w:rPr>
                <w:sz w:val="22"/>
                <w:szCs w:val="22"/>
                <w:lang w:val="en-GB"/>
              </w:rPr>
            </w:pPr>
            <w:r w:rsidRPr="00E366AA">
              <w:rPr>
                <w:b/>
                <w:i/>
                <w:sz w:val="22"/>
                <w:szCs w:val="22"/>
                <w:lang w:val="en-GB"/>
              </w:rPr>
              <w:t>Credit</w:t>
            </w:r>
            <w:r w:rsidRPr="00E366AA">
              <w:rPr>
                <w:b/>
                <w:iCs/>
                <w:sz w:val="22"/>
                <w:szCs w:val="22"/>
                <w:lang w:val="en-GB"/>
              </w:rPr>
              <w:t>:</w:t>
            </w:r>
            <w:r w:rsidRPr="00E366AA">
              <w:rPr>
                <w:iCs/>
                <w:sz w:val="22"/>
                <w:szCs w:val="22"/>
                <w:lang w:val="en-GB"/>
              </w:rPr>
              <w:t xml:space="preserve"> 4</w:t>
            </w:r>
          </w:p>
          <w:p w14:paraId="640179C8" w14:textId="77777777" w:rsidR="00347FB7" w:rsidRPr="00E366AA" w:rsidRDefault="00347FB7" w:rsidP="005D7FED">
            <w:pPr>
              <w:jc w:val="both"/>
              <w:rPr>
                <w:sz w:val="22"/>
                <w:szCs w:val="22"/>
                <w:lang w:val="en-GB"/>
              </w:rPr>
            </w:pPr>
            <w:r w:rsidRPr="00E366AA">
              <w:rPr>
                <w:b/>
                <w:i/>
                <w:sz w:val="22"/>
                <w:szCs w:val="22"/>
                <w:lang w:val="en-GB"/>
              </w:rPr>
              <w:t>Exam type</w:t>
            </w:r>
            <w:r w:rsidRPr="00E366AA">
              <w:rPr>
                <w:i/>
                <w:sz w:val="22"/>
                <w:szCs w:val="22"/>
                <w:lang w:val="en-GB"/>
              </w:rPr>
              <w:t>:</w:t>
            </w:r>
            <w:r w:rsidRPr="00E366AA">
              <w:rPr>
                <w:sz w:val="22"/>
                <w:szCs w:val="22"/>
                <w:lang w:val="en-GB"/>
              </w:rPr>
              <w:t xml:space="preserve"> e</w:t>
            </w:r>
          </w:p>
          <w:p w14:paraId="27A9E791" w14:textId="77777777" w:rsidR="00347FB7" w:rsidRPr="00E366AA" w:rsidRDefault="00347FB7" w:rsidP="005D7FED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347FB7" w:rsidRPr="00E366AA" w14:paraId="7A662CE7" w14:textId="77777777" w:rsidTr="001D7217">
        <w:trPr>
          <w:jc w:val="center"/>
        </w:trPr>
        <w:tc>
          <w:tcPr>
            <w:tcW w:w="1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FBCC" w14:textId="77777777" w:rsidR="00347FB7" w:rsidRPr="00E366AA" w:rsidRDefault="00347FB7" w:rsidP="005D7FED">
            <w:pPr>
              <w:jc w:val="both"/>
              <w:rPr>
                <w:b/>
                <w:i/>
                <w:sz w:val="22"/>
                <w:szCs w:val="22"/>
                <w:lang w:val="en-GB"/>
              </w:rPr>
            </w:pPr>
            <w:r w:rsidRPr="00E366AA">
              <w:rPr>
                <w:b/>
                <w:i/>
                <w:sz w:val="22"/>
                <w:szCs w:val="22"/>
                <w:lang w:val="en-GB"/>
              </w:rPr>
              <w:t>Course leader:</w:t>
            </w:r>
          </w:p>
          <w:p w14:paraId="6BEB5B63" w14:textId="77777777" w:rsidR="00347FB7" w:rsidRPr="00E366AA" w:rsidRDefault="00347FB7" w:rsidP="005D7FED">
            <w:pPr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E366AA">
              <w:rPr>
                <w:sz w:val="22"/>
                <w:szCs w:val="22"/>
                <w:lang w:val="en-GB"/>
              </w:rPr>
              <w:t>Csiszér</w:t>
            </w:r>
            <w:proofErr w:type="spellEnd"/>
            <w:r w:rsidRPr="00E366A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366AA">
              <w:rPr>
                <w:sz w:val="22"/>
                <w:szCs w:val="22"/>
                <w:lang w:val="en-GB"/>
              </w:rPr>
              <w:t>Tamás</w:t>
            </w:r>
            <w:proofErr w:type="spellEnd"/>
            <w:r w:rsidRPr="00E366AA">
              <w:rPr>
                <w:sz w:val="22"/>
                <w:szCs w:val="22"/>
                <w:lang w:val="en-GB"/>
              </w:rPr>
              <w:t xml:space="preserve"> Ph.D.</w:t>
            </w:r>
          </w:p>
          <w:p w14:paraId="259C6FDE" w14:textId="7B9B9B1C" w:rsidR="006175AE" w:rsidRPr="00E366AA" w:rsidRDefault="006175AE" w:rsidP="005D7FED">
            <w:pPr>
              <w:jc w:val="both"/>
              <w:rPr>
                <w:sz w:val="22"/>
                <w:szCs w:val="22"/>
                <w:lang w:val="en-GB"/>
              </w:rPr>
            </w:pPr>
            <w:r w:rsidRPr="00EB37BA">
              <w:rPr>
                <w:b/>
                <w:bCs/>
                <w:sz w:val="22"/>
                <w:szCs w:val="22"/>
                <w:lang w:val="pt-BR"/>
              </w:rPr>
              <w:t>Lecturer:</w:t>
            </w:r>
            <w:r w:rsidRPr="00EB37BA">
              <w:rPr>
                <w:sz w:val="22"/>
                <w:szCs w:val="22"/>
                <w:lang w:val="pt-BR"/>
              </w:rPr>
              <w:t xml:space="preserve"> Dr. Mészárosné Dr. habil. </w:t>
            </w:r>
            <w:r w:rsidRPr="00E366AA">
              <w:rPr>
                <w:sz w:val="22"/>
                <w:szCs w:val="22"/>
                <w:lang w:val="en-GB"/>
              </w:rPr>
              <w:t>Bálint Ágnes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584F" w14:textId="77777777" w:rsidR="00347FB7" w:rsidRPr="00E366AA" w:rsidRDefault="00347FB7" w:rsidP="005D7FED">
            <w:pPr>
              <w:jc w:val="both"/>
              <w:rPr>
                <w:b/>
                <w:i/>
                <w:sz w:val="22"/>
                <w:szCs w:val="22"/>
                <w:lang w:val="en-GB"/>
              </w:rPr>
            </w:pPr>
            <w:r w:rsidRPr="00E366AA">
              <w:rPr>
                <w:b/>
                <w:i/>
                <w:sz w:val="22"/>
                <w:szCs w:val="22"/>
                <w:lang w:val="en-GB"/>
              </w:rPr>
              <w:t xml:space="preserve">Position: </w:t>
            </w:r>
          </w:p>
          <w:p w14:paraId="2654DC8A" w14:textId="77777777" w:rsidR="00347FB7" w:rsidRPr="00E366AA" w:rsidRDefault="00347FB7" w:rsidP="005D7FED">
            <w:pPr>
              <w:jc w:val="both"/>
              <w:rPr>
                <w:sz w:val="22"/>
                <w:szCs w:val="22"/>
                <w:lang w:val="en-GB"/>
              </w:rPr>
            </w:pPr>
            <w:r w:rsidRPr="00E366AA">
              <w:rPr>
                <w:sz w:val="22"/>
                <w:szCs w:val="22"/>
                <w:lang w:val="en-GB"/>
              </w:rPr>
              <w:t>associate professor</w:t>
            </w:r>
          </w:p>
        </w:tc>
        <w:tc>
          <w:tcPr>
            <w:tcW w:w="2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6E21" w14:textId="77777777" w:rsidR="00347FB7" w:rsidRPr="00E366AA" w:rsidRDefault="00347FB7" w:rsidP="005D7FED">
            <w:pPr>
              <w:rPr>
                <w:b/>
                <w:i/>
                <w:sz w:val="22"/>
                <w:szCs w:val="22"/>
                <w:lang w:val="en-GB"/>
              </w:rPr>
            </w:pPr>
            <w:r w:rsidRPr="00E366AA">
              <w:rPr>
                <w:b/>
                <w:i/>
                <w:sz w:val="22"/>
                <w:szCs w:val="22"/>
                <w:lang w:val="en-GB"/>
              </w:rPr>
              <w:t xml:space="preserve">Required preliminary knowledge: </w:t>
            </w:r>
          </w:p>
          <w:p w14:paraId="5296B337" w14:textId="77777777" w:rsidR="00347FB7" w:rsidRPr="00E366AA" w:rsidRDefault="00347FB7" w:rsidP="005D7FED">
            <w:pPr>
              <w:jc w:val="both"/>
              <w:rPr>
                <w:sz w:val="22"/>
                <w:szCs w:val="22"/>
                <w:lang w:val="en-GB"/>
              </w:rPr>
            </w:pPr>
            <w:r w:rsidRPr="00E366AA">
              <w:rPr>
                <w:sz w:val="22"/>
                <w:szCs w:val="22"/>
                <w:lang w:val="en-GB"/>
              </w:rPr>
              <w:t>-</w:t>
            </w:r>
          </w:p>
        </w:tc>
      </w:tr>
      <w:tr w:rsidR="00347FB7" w:rsidRPr="00E366AA" w14:paraId="69278D59" w14:textId="77777777" w:rsidTr="001D7217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97A6" w14:textId="77777777" w:rsidR="00347FB7" w:rsidRPr="00E366AA" w:rsidRDefault="00347FB7" w:rsidP="005D7FED">
            <w:pPr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E366AA">
              <w:rPr>
                <w:b/>
                <w:i/>
                <w:sz w:val="22"/>
                <w:szCs w:val="22"/>
                <w:lang w:val="en-GB"/>
              </w:rPr>
              <w:t>Curriculum:</w:t>
            </w:r>
          </w:p>
        </w:tc>
      </w:tr>
      <w:tr w:rsidR="00E366AA" w:rsidRPr="00E366AA" w14:paraId="5204F34B" w14:textId="77777777" w:rsidTr="001D7217">
        <w:trPr>
          <w:trHeight w:val="241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8B91" w14:textId="23FEEAF8" w:rsidR="00347FB7" w:rsidRPr="00E366AA" w:rsidRDefault="00E366AA" w:rsidP="005D7FED">
            <w:pPr>
              <w:spacing w:after="200"/>
              <w:jc w:val="both"/>
              <w:rPr>
                <w:rFonts w:eastAsia="Arial,Bold"/>
                <w:bCs/>
                <w:sz w:val="22"/>
                <w:szCs w:val="22"/>
                <w:lang w:val="en-GB"/>
              </w:rPr>
            </w:pPr>
            <w:r w:rsidRPr="00E366AA">
              <w:rPr>
                <w:sz w:val="24"/>
                <w:lang w:val="en-GB"/>
              </w:rPr>
              <w:t xml:space="preserve">The course aims to introduce the basics of organic chemistry necessary for professional courses. During </w:t>
            </w:r>
            <w:r w:rsidR="00E50C52">
              <w:rPr>
                <w:sz w:val="24"/>
                <w:lang w:val="en-GB"/>
              </w:rPr>
              <w:t xml:space="preserve">practice, </w:t>
            </w:r>
            <w:r w:rsidRPr="00E366AA">
              <w:rPr>
                <w:sz w:val="24"/>
                <w:lang w:val="en-GB"/>
              </w:rPr>
              <w:t xml:space="preserve">students </w:t>
            </w:r>
            <w:r w:rsidR="00E50C52">
              <w:rPr>
                <w:sz w:val="24"/>
                <w:lang w:val="en-GB"/>
              </w:rPr>
              <w:t>gain laboratory knowledge essential to successfully fulfilling the requirements of professional subjects</w:t>
            </w:r>
            <w:r w:rsidRPr="00E366AA">
              <w:rPr>
                <w:sz w:val="24"/>
                <w:lang w:val="en-GB"/>
              </w:rPr>
              <w:t xml:space="preserve">. Basic concepts of organic chemistry. The structure and properties of alkanes. Nomenclature. The structure, reactions, </w:t>
            </w:r>
            <w:r>
              <w:rPr>
                <w:sz w:val="24"/>
                <w:lang w:val="en-GB"/>
              </w:rPr>
              <w:t xml:space="preserve">and </w:t>
            </w:r>
            <w:r w:rsidRPr="00E366AA">
              <w:rPr>
                <w:sz w:val="24"/>
                <w:lang w:val="en-GB"/>
              </w:rPr>
              <w:t>properties of open-chain unsaturated hydrocarbons. The structure, reactions, and properties of closed-chain saturated and unsaturated hydrocarbons. The production, physical and chemical properties of halogen-containing organic compounds. The grouping, physical and chemical properties of oxygen-containing organic compounds. The grouping, physical and chemical properties of nitrogen-containing organic compounds.</w:t>
            </w:r>
          </w:p>
        </w:tc>
      </w:tr>
      <w:tr w:rsidR="00F72941" w:rsidRPr="00E366AA" w14:paraId="3B32F75E" w14:textId="77777777" w:rsidTr="001D7217">
        <w:trPr>
          <w:trHeight w:val="25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CC29" w14:textId="2EA92107" w:rsidR="00F72941" w:rsidRPr="00E366AA" w:rsidRDefault="6AFF9914" w:rsidP="50ADBC37">
            <w:pPr>
              <w:spacing w:after="240"/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E366AA">
              <w:rPr>
                <w:b/>
                <w:bCs/>
                <w:i/>
                <w:iCs/>
                <w:sz w:val="22"/>
                <w:szCs w:val="22"/>
                <w:lang w:val="en-GB"/>
              </w:rPr>
              <w:t>Curriculum Description:</w:t>
            </w:r>
          </w:p>
        </w:tc>
      </w:tr>
      <w:tr w:rsidR="00F72941" w:rsidRPr="00E366AA" w14:paraId="2F4FC191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AD03" w14:textId="04E44445" w:rsidR="00F72941" w:rsidRPr="00E366AA" w:rsidRDefault="00F72941" w:rsidP="50ADBC37">
            <w:pPr>
              <w:spacing w:after="240"/>
              <w:jc w:val="center"/>
              <w:rPr>
                <w:b/>
                <w:bCs/>
                <w:lang w:val="en-GB"/>
              </w:rPr>
            </w:pPr>
            <w:r w:rsidRPr="00E366AA">
              <w:rPr>
                <w:b/>
                <w:bCs/>
                <w:lang w:val="en-GB"/>
              </w:rPr>
              <w:t>week</w:t>
            </w:r>
          </w:p>
        </w:tc>
        <w:tc>
          <w:tcPr>
            <w:tcW w:w="44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1A17" w14:textId="77777777" w:rsidR="00F72941" w:rsidRPr="00E366AA" w:rsidRDefault="00F72941" w:rsidP="005D7FED">
            <w:pPr>
              <w:spacing w:after="240"/>
              <w:jc w:val="center"/>
              <w:rPr>
                <w:b/>
                <w:lang w:val="en-GB"/>
              </w:rPr>
            </w:pPr>
            <w:r w:rsidRPr="00E366AA">
              <w:rPr>
                <w:b/>
                <w:lang w:val="en-GB"/>
              </w:rPr>
              <w:t>Topics of lectures and practices</w:t>
            </w:r>
          </w:p>
        </w:tc>
      </w:tr>
      <w:tr w:rsidR="00F72941" w:rsidRPr="00E366AA" w14:paraId="0F7A8F20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B005" w14:textId="77777777" w:rsidR="00F72941" w:rsidRPr="00E366AA" w:rsidRDefault="00F72941" w:rsidP="00546B50">
            <w:pPr>
              <w:spacing w:after="240"/>
              <w:jc w:val="center"/>
              <w:rPr>
                <w:bCs/>
                <w:lang w:val="en-GB"/>
              </w:rPr>
            </w:pPr>
            <w:r w:rsidRPr="00E366AA">
              <w:rPr>
                <w:bCs/>
                <w:lang w:val="en-GB"/>
              </w:rPr>
              <w:t>1.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3EF31BB4" w14:textId="1EB4B8D9" w:rsidR="00F72941" w:rsidRPr="00C26723" w:rsidRDefault="00F72941" w:rsidP="002C5B5E">
            <w:pPr>
              <w:spacing w:after="240"/>
              <w:jc w:val="both"/>
              <w:rPr>
                <w:b/>
                <w:bCs/>
                <w:lang w:val="en-GB"/>
              </w:rPr>
            </w:pPr>
            <w:r w:rsidRPr="00C26723">
              <w:rPr>
                <w:b/>
                <w:bCs/>
                <w:lang w:val="en-GB"/>
              </w:rPr>
              <w:t xml:space="preserve">Lecture: </w:t>
            </w:r>
            <w:r w:rsidR="002C5B5E" w:rsidRPr="002C5B5E">
              <w:rPr>
                <w:lang w:val="en-GB"/>
              </w:rPr>
              <w:t>Left over from semester 1: Chemical thermodynamics</w:t>
            </w:r>
            <w:r w:rsidR="002C5B5E">
              <w:rPr>
                <w:lang w:val="en-GB"/>
              </w:rPr>
              <w:t xml:space="preserve">. </w:t>
            </w:r>
            <w:r w:rsidR="00E366AA" w:rsidRPr="00C26723">
              <w:rPr>
                <w:bCs/>
                <w:lang w:val="en-GB"/>
              </w:rPr>
              <w:t>Hydrocarbons, Alkanes and Cycloalkanes; Alkenes and Alkynes; Aromatic Hydrocarbons</w:t>
            </w:r>
          </w:p>
        </w:tc>
      </w:tr>
      <w:tr w:rsidR="00F72941" w:rsidRPr="00E366AA" w14:paraId="23ED9B33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8415" w14:textId="77777777" w:rsidR="00F72941" w:rsidRPr="00E366AA" w:rsidRDefault="00F72941" w:rsidP="00546B50">
            <w:pPr>
              <w:spacing w:after="240"/>
              <w:jc w:val="center"/>
              <w:rPr>
                <w:bCs/>
                <w:lang w:val="en-GB"/>
              </w:rPr>
            </w:pPr>
            <w:r w:rsidRPr="00E366AA">
              <w:rPr>
                <w:bCs/>
                <w:lang w:val="en-GB"/>
              </w:rPr>
              <w:t>2.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5FC50214" w14:textId="6B6CF459" w:rsidR="00F72941" w:rsidRPr="00C26723" w:rsidRDefault="00C41B12" w:rsidP="005D7FED">
            <w:pPr>
              <w:rPr>
                <w:bCs/>
                <w:lang w:val="en-GB"/>
              </w:rPr>
            </w:pPr>
            <w:r w:rsidRPr="00C26723">
              <w:rPr>
                <w:b/>
                <w:lang w:val="en-GB"/>
              </w:rPr>
              <w:t>Practice:</w:t>
            </w:r>
            <w:r w:rsidR="00C26723" w:rsidRPr="00C26723">
              <w:rPr>
                <w:b/>
                <w:lang w:val="en-GB"/>
              </w:rPr>
              <w:t xml:space="preserve"> </w:t>
            </w:r>
            <w:r w:rsidR="00C26723" w:rsidRPr="00C26723">
              <w:rPr>
                <w:bCs/>
                <w:lang w:val="en-GB"/>
              </w:rPr>
              <w:t>Basics of laboratory work (safety rules). Several topics from the first semester. Practice calculations.</w:t>
            </w:r>
          </w:p>
        </w:tc>
      </w:tr>
      <w:tr w:rsidR="00F72941" w:rsidRPr="00E366AA" w14:paraId="69199CC9" w14:textId="77777777" w:rsidTr="002C5B5E">
        <w:trPr>
          <w:trHeight w:val="442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B683" w14:textId="77777777" w:rsidR="00F72941" w:rsidRPr="00E366AA" w:rsidRDefault="00F72941" w:rsidP="00546B50">
            <w:pPr>
              <w:spacing w:after="240"/>
              <w:jc w:val="center"/>
              <w:rPr>
                <w:bCs/>
                <w:lang w:val="en-GB"/>
              </w:rPr>
            </w:pPr>
            <w:r w:rsidRPr="00E366AA">
              <w:rPr>
                <w:bCs/>
                <w:lang w:val="en-GB"/>
              </w:rPr>
              <w:t>3.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50370076" w14:textId="67CA51D7" w:rsidR="00F72941" w:rsidRPr="00C26723" w:rsidRDefault="00F72941" w:rsidP="005D7FED">
            <w:pPr>
              <w:spacing w:after="240"/>
              <w:jc w:val="both"/>
              <w:rPr>
                <w:bCs/>
                <w:lang w:val="en-GB"/>
              </w:rPr>
            </w:pPr>
            <w:r w:rsidRPr="00C26723">
              <w:rPr>
                <w:b/>
                <w:lang w:val="en-GB"/>
              </w:rPr>
              <w:t>Lecture</w:t>
            </w:r>
            <w:r w:rsidRPr="00C26723">
              <w:rPr>
                <w:bCs/>
                <w:lang w:val="en-GB"/>
              </w:rPr>
              <w:t xml:space="preserve">: </w:t>
            </w:r>
            <w:r w:rsidR="00B94124" w:rsidRPr="00C26723">
              <w:rPr>
                <w:lang w:val="en-US"/>
              </w:rPr>
              <w:t>Naming Hydrocarbons; Derivatives of Hydrocarbons; Organic Compounds Containing Oxygen; Organic Compounds Containing Nitrogen</w:t>
            </w:r>
          </w:p>
        </w:tc>
      </w:tr>
      <w:tr w:rsidR="00F72941" w:rsidRPr="00E366AA" w14:paraId="738D4579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B6C5" w14:textId="77777777" w:rsidR="00F72941" w:rsidRPr="00E366AA" w:rsidRDefault="00F72941" w:rsidP="00546B50">
            <w:pPr>
              <w:spacing w:after="240"/>
              <w:jc w:val="center"/>
              <w:rPr>
                <w:bCs/>
                <w:lang w:val="en-GB"/>
              </w:rPr>
            </w:pPr>
            <w:r w:rsidRPr="00E366AA">
              <w:rPr>
                <w:bCs/>
                <w:lang w:val="en-GB"/>
              </w:rPr>
              <w:t>4.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2E905EB0" w14:textId="62D02AF8" w:rsidR="00F72941" w:rsidRPr="00C26723" w:rsidRDefault="00C41B12" w:rsidP="005D7FED">
            <w:pPr>
              <w:spacing w:after="240"/>
              <w:jc w:val="both"/>
              <w:rPr>
                <w:bCs/>
                <w:lang w:val="en-GB"/>
              </w:rPr>
            </w:pPr>
            <w:r w:rsidRPr="00C26723">
              <w:rPr>
                <w:b/>
                <w:lang w:val="en-GB"/>
              </w:rPr>
              <w:t>Practice:</w:t>
            </w:r>
            <w:r w:rsidR="00C26723" w:rsidRPr="00C26723">
              <w:rPr>
                <w:b/>
                <w:lang w:val="en-GB"/>
              </w:rPr>
              <w:t xml:space="preserve"> </w:t>
            </w:r>
            <w:r w:rsidR="00C26723" w:rsidRPr="00C26723">
              <w:rPr>
                <w:bCs/>
                <w:lang w:val="en-GB"/>
              </w:rPr>
              <w:t>Calculation of titrations. Volumetric analysis. Weak Base-acid titration (2 points).</w:t>
            </w:r>
          </w:p>
        </w:tc>
      </w:tr>
      <w:tr w:rsidR="00F72941" w:rsidRPr="00E366AA" w14:paraId="08EC5848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345D" w14:textId="77777777" w:rsidR="00F72941" w:rsidRPr="00E366AA" w:rsidRDefault="00F72941" w:rsidP="00546B50">
            <w:pPr>
              <w:spacing w:after="240"/>
              <w:jc w:val="center"/>
              <w:rPr>
                <w:bCs/>
                <w:lang w:val="en-GB"/>
              </w:rPr>
            </w:pPr>
            <w:r w:rsidRPr="00E366AA">
              <w:rPr>
                <w:bCs/>
                <w:lang w:val="en-GB"/>
              </w:rPr>
              <w:t>5.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3467B089" w14:textId="48502D7F" w:rsidR="00F72941" w:rsidRPr="00C26723" w:rsidRDefault="00F72941" w:rsidP="005D7FED">
            <w:pPr>
              <w:spacing w:after="240"/>
              <w:jc w:val="both"/>
              <w:rPr>
                <w:lang w:val="en-GB"/>
              </w:rPr>
            </w:pPr>
            <w:r w:rsidRPr="00C26723">
              <w:rPr>
                <w:b/>
                <w:lang w:val="en-GB"/>
              </w:rPr>
              <w:t xml:space="preserve">Lecture: </w:t>
            </w:r>
            <w:r w:rsidR="00C26723" w:rsidRPr="00C26723">
              <w:rPr>
                <w:bCs/>
                <w:lang w:val="en-GB"/>
              </w:rPr>
              <w:t>Organic Compounds Containing Sulphur; Polymers: synthetic and biological 1.</w:t>
            </w:r>
          </w:p>
        </w:tc>
      </w:tr>
      <w:tr w:rsidR="00F72941" w:rsidRPr="00E366AA" w14:paraId="5BA895D7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73D5" w14:textId="77777777" w:rsidR="00F72941" w:rsidRPr="00E366AA" w:rsidRDefault="00F72941" w:rsidP="00546B50">
            <w:pPr>
              <w:spacing w:after="240"/>
              <w:jc w:val="center"/>
              <w:rPr>
                <w:bCs/>
                <w:lang w:val="en-GB"/>
              </w:rPr>
            </w:pPr>
            <w:r w:rsidRPr="00E366AA">
              <w:rPr>
                <w:bCs/>
                <w:lang w:val="en-GB"/>
              </w:rPr>
              <w:t>6.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157F9CA1" w14:textId="31C6EB38" w:rsidR="001D7217" w:rsidRPr="00C26723" w:rsidRDefault="001D7217" w:rsidP="005D7FED">
            <w:pPr>
              <w:spacing w:after="240"/>
              <w:jc w:val="both"/>
              <w:rPr>
                <w:bCs/>
                <w:lang w:val="en-GB"/>
              </w:rPr>
            </w:pPr>
            <w:r w:rsidRPr="00C26723">
              <w:rPr>
                <w:b/>
                <w:lang w:val="en-GB"/>
              </w:rPr>
              <w:t>Practice:</w:t>
            </w:r>
            <w:r w:rsidRPr="00C26723">
              <w:rPr>
                <w:bCs/>
                <w:lang w:val="en-GB"/>
              </w:rPr>
              <w:t xml:space="preserve"> </w:t>
            </w:r>
            <w:r w:rsidR="00717E9A" w:rsidRPr="00717E9A">
              <w:rPr>
                <w:bCs/>
                <w:lang w:val="en-GB"/>
              </w:rPr>
              <w:t>Determination of vitamin C concentration by iodometric titration</w:t>
            </w:r>
            <w:r w:rsidR="00C26723" w:rsidRPr="00C26723">
              <w:rPr>
                <w:bCs/>
                <w:lang w:val="en-GB"/>
              </w:rPr>
              <w:t>. (2 points)</w:t>
            </w:r>
          </w:p>
        </w:tc>
      </w:tr>
      <w:tr w:rsidR="00F72941" w:rsidRPr="00E366AA" w14:paraId="3D8AB4BF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52A3" w14:textId="77777777" w:rsidR="00F72941" w:rsidRPr="00E366AA" w:rsidRDefault="00F72941" w:rsidP="00546B50">
            <w:pPr>
              <w:spacing w:after="240"/>
              <w:jc w:val="center"/>
              <w:rPr>
                <w:bCs/>
                <w:lang w:val="en-GB"/>
              </w:rPr>
            </w:pPr>
            <w:r w:rsidRPr="00E366AA">
              <w:rPr>
                <w:bCs/>
                <w:lang w:val="en-GB"/>
              </w:rPr>
              <w:t>7.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2A208B3F" w14:textId="23178841" w:rsidR="00F72941" w:rsidRPr="00C26723" w:rsidRDefault="00F72941" w:rsidP="00C26723">
            <w:pPr>
              <w:pStyle w:val="Lers"/>
              <w:rPr>
                <w:szCs w:val="20"/>
                <w:lang w:val="en-GB"/>
              </w:rPr>
            </w:pPr>
            <w:r w:rsidRPr="00C26723">
              <w:rPr>
                <w:rFonts w:ascii="Times New Roman" w:hAnsi="Times New Roman"/>
                <w:b/>
                <w:szCs w:val="20"/>
                <w:lang w:val="en-GB"/>
              </w:rPr>
              <w:t>Lecture:</w:t>
            </w:r>
            <w:r w:rsidR="00C26723" w:rsidRPr="00C26723">
              <w:rPr>
                <w:rFonts w:ascii="Times New Roman" w:hAnsi="Times New Roman"/>
                <w:b/>
                <w:szCs w:val="20"/>
                <w:lang w:val="en-GB"/>
              </w:rPr>
              <w:t xml:space="preserve"> </w:t>
            </w:r>
            <w:r w:rsidR="00C26723" w:rsidRPr="00C26723">
              <w:rPr>
                <w:rFonts w:ascii="Times New Roman" w:hAnsi="Times New Roman"/>
                <w:szCs w:val="20"/>
                <w:lang w:val="en-US"/>
              </w:rPr>
              <w:t>Polymers: synthetic and biological 2.</w:t>
            </w:r>
          </w:p>
        </w:tc>
      </w:tr>
      <w:tr w:rsidR="00F72941" w:rsidRPr="00E366AA" w14:paraId="5852C375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DA75" w14:textId="77777777" w:rsidR="00F72941" w:rsidRPr="00E366AA" w:rsidRDefault="00F72941" w:rsidP="00546B50">
            <w:pPr>
              <w:spacing w:after="240"/>
              <w:jc w:val="center"/>
              <w:rPr>
                <w:bCs/>
                <w:lang w:val="en-GB"/>
              </w:rPr>
            </w:pPr>
            <w:r w:rsidRPr="00E366AA">
              <w:rPr>
                <w:bCs/>
                <w:lang w:val="en-GB"/>
              </w:rPr>
              <w:t>8.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257D7087" w14:textId="729F9C61" w:rsidR="001D7217" w:rsidRPr="002C5B5E" w:rsidRDefault="002C5B5E" w:rsidP="00EF53D5">
            <w:pPr>
              <w:pStyle w:val="Lers"/>
              <w:rPr>
                <w:rFonts w:ascii="Times New Roman" w:hAnsi="Times New Roman"/>
                <w:bCs/>
                <w:szCs w:val="20"/>
                <w:lang w:val="en-GB"/>
              </w:rPr>
            </w:pPr>
            <w:r w:rsidRPr="002C5B5E">
              <w:rPr>
                <w:rFonts w:ascii="Times New Roman" w:hAnsi="Times New Roman"/>
                <w:b/>
                <w:lang w:val="en-GB"/>
              </w:rPr>
              <w:t>Rector's holiday</w:t>
            </w:r>
          </w:p>
        </w:tc>
      </w:tr>
      <w:tr w:rsidR="00F72941" w:rsidRPr="00E366AA" w14:paraId="1B240ECB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463A" w14:textId="77777777" w:rsidR="00F72941" w:rsidRPr="00E366AA" w:rsidRDefault="00F72941" w:rsidP="00546B50">
            <w:pPr>
              <w:spacing w:after="240"/>
              <w:jc w:val="center"/>
              <w:rPr>
                <w:bCs/>
                <w:lang w:val="en-GB"/>
              </w:rPr>
            </w:pPr>
            <w:r w:rsidRPr="00E366AA">
              <w:rPr>
                <w:bCs/>
                <w:lang w:val="en-GB"/>
              </w:rPr>
              <w:t>9.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4873BCF0" w14:textId="529412B0" w:rsidR="00F72941" w:rsidRPr="00C26723" w:rsidRDefault="002C5B5E" w:rsidP="00C41B12">
            <w:pPr>
              <w:spacing w:after="240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Lecture: </w:t>
            </w:r>
            <w:r w:rsidRPr="00304D34">
              <w:rPr>
                <w:bCs/>
                <w:lang w:val="en-GB"/>
              </w:rPr>
              <w:t>Proteins</w:t>
            </w:r>
          </w:p>
        </w:tc>
      </w:tr>
      <w:tr w:rsidR="00F72941" w:rsidRPr="00E366AA" w14:paraId="62B0BE36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3FC9" w14:textId="77777777" w:rsidR="00F72941" w:rsidRPr="00E366AA" w:rsidRDefault="00F72941" w:rsidP="00546B50">
            <w:pPr>
              <w:spacing w:after="240"/>
              <w:jc w:val="center"/>
              <w:rPr>
                <w:bCs/>
                <w:lang w:val="en-GB"/>
              </w:rPr>
            </w:pPr>
            <w:r w:rsidRPr="00E366AA">
              <w:rPr>
                <w:bCs/>
                <w:lang w:val="en-GB"/>
              </w:rPr>
              <w:t>10.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6DB021CB" w14:textId="0D2FB975" w:rsidR="002C5B5E" w:rsidRDefault="002C5B5E" w:rsidP="00717E9A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Practice: Test 1</w:t>
            </w:r>
            <w:r w:rsidRPr="00C26723">
              <w:rPr>
                <w:bCs/>
                <w:lang w:val="en-GB"/>
              </w:rPr>
              <w:t xml:space="preserve"> (titrations). (5 points). </w:t>
            </w:r>
            <w:r w:rsidRPr="00717E9A">
              <w:rPr>
                <w:bCs/>
                <w:lang w:val="en-GB"/>
              </w:rPr>
              <w:t>Testing sodium hypochlorite (HYPO) solution</w:t>
            </w:r>
            <w:r>
              <w:rPr>
                <w:bCs/>
                <w:lang w:val="en-GB"/>
              </w:rPr>
              <w:t xml:space="preserve"> </w:t>
            </w:r>
            <w:r w:rsidRPr="00C26723">
              <w:rPr>
                <w:bCs/>
                <w:lang w:val="en-GB"/>
              </w:rPr>
              <w:t>(2 points)</w:t>
            </w:r>
          </w:p>
          <w:p w14:paraId="4193EB25" w14:textId="1F4AD0F5" w:rsidR="001D7217" w:rsidRPr="00C26723" w:rsidRDefault="001D7217" w:rsidP="00717E9A">
            <w:pPr>
              <w:rPr>
                <w:lang w:val="en-GB"/>
              </w:rPr>
            </w:pPr>
          </w:p>
        </w:tc>
      </w:tr>
      <w:tr w:rsidR="00F72941" w:rsidRPr="00E366AA" w14:paraId="53BB6063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FA4E" w14:textId="77777777" w:rsidR="00F72941" w:rsidRPr="00E366AA" w:rsidRDefault="00F72941" w:rsidP="00546B50">
            <w:pPr>
              <w:spacing w:after="240"/>
              <w:jc w:val="center"/>
              <w:rPr>
                <w:bCs/>
                <w:lang w:val="en-GB"/>
              </w:rPr>
            </w:pPr>
            <w:r w:rsidRPr="00E366AA">
              <w:rPr>
                <w:bCs/>
                <w:lang w:val="en-GB"/>
              </w:rPr>
              <w:t>11.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25B96098" w14:textId="6E2C81A8" w:rsidR="00F72941" w:rsidRPr="00C26723" w:rsidRDefault="00C41B12" w:rsidP="005D7FED">
            <w:pPr>
              <w:pStyle w:val="Lers"/>
              <w:rPr>
                <w:rFonts w:ascii="Times New Roman" w:hAnsi="Times New Roman"/>
                <w:bCs/>
                <w:szCs w:val="20"/>
                <w:lang w:val="en-GB"/>
              </w:rPr>
            </w:pPr>
            <w:r w:rsidRPr="00C26723">
              <w:rPr>
                <w:rFonts w:ascii="Times New Roman" w:hAnsi="Times New Roman"/>
                <w:b/>
                <w:szCs w:val="20"/>
                <w:lang w:val="en-GB"/>
              </w:rPr>
              <w:t>Lecture:</w:t>
            </w:r>
            <w:r w:rsidR="00C26723" w:rsidRPr="00C26723">
              <w:rPr>
                <w:rFonts w:ascii="Times New Roman" w:hAnsi="Times New Roman"/>
                <w:b/>
                <w:szCs w:val="20"/>
                <w:lang w:val="en-GB"/>
              </w:rPr>
              <w:t xml:space="preserve"> </w:t>
            </w:r>
            <w:r w:rsidR="002C5B5E" w:rsidRPr="002C5B5E">
              <w:rPr>
                <w:rFonts w:ascii="Times New Roman" w:hAnsi="Times New Roman"/>
                <w:lang w:val="en-US"/>
              </w:rPr>
              <w:t>Carbohydrates.</w:t>
            </w:r>
            <w:r w:rsidR="002C5B5E" w:rsidRPr="00C26723">
              <w:rPr>
                <w:lang w:val="en-US"/>
              </w:rPr>
              <w:t xml:space="preserve"> </w:t>
            </w:r>
          </w:p>
        </w:tc>
      </w:tr>
      <w:tr w:rsidR="00F72941" w:rsidRPr="00E366AA" w14:paraId="6B0EE07C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A682" w14:textId="77777777" w:rsidR="00F72941" w:rsidRPr="00E366AA" w:rsidRDefault="00F72941" w:rsidP="00546B50">
            <w:pPr>
              <w:spacing w:after="240"/>
              <w:jc w:val="center"/>
              <w:rPr>
                <w:bCs/>
                <w:lang w:val="en-GB"/>
              </w:rPr>
            </w:pPr>
            <w:r w:rsidRPr="00E366AA">
              <w:rPr>
                <w:bCs/>
                <w:lang w:val="en-GB"/>
              </w:rPr>
              <w:t>12.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47999C52" w14:textId="143F05B9" w:rsidR="001D7217" w:rsidRPr="00C26723" w:rsidRDefault="00EF53D5" w:rsidP="002C5B5E">
            <w:pPr>
              <w:pStyle w:val="Lers"/>
              <w:rPr>
                <w:b/>
                <w:szCs w:val="20"/>
                <w:lang w:val="en-GB"/>
              </w:rPr>
            </w:pPr>
            <w:r w:rsidRPr="00C26723">
              <w:rPr>
                <w:rFonts w:ascii="Times New Roman" w:hAnsi="Times New Roman"/>
                <w:b/>
                <w:szCs w:val="20"/>
                <w:lang w:val="en-GB"/>
              </w:rPr>
              <w:t>Practice:</w:t>
            </w:r>
            <w:r w:rsidRPr="00C26723">
              <w:rPr>
                <w:rFonts w:ascii="Times New Roman" w:hAnsi="Times New Roman"/>
                <w:bCs/>
                <w:szCs w:val="20"/>
                <w:lang w:val="en-GB"/>
              </w:rPr>
              <w:t xml:space="preserve"> </w:t>
            </w:r>
            <w:r w:rsidR="002C5B5E" w:rsidRPr="002C5B5E">
              <w:rPr>
                <w:rFonts w:ascii="Times New Roman" w:hAnsi="Times New Roman"/>
                <w:lang w:val="en-GB"/>
              </w:rPr>
              <w:t>Test 2. (calculation on thermochemistry and organic compounds) (5 points).  Determination of the acid value, acid value and saponification value of vegetable oils (2 points)</w:t>
            </w:r>
          </w:p>
        </w:tc>
      </w:tr>
      <w:tr w:rsidR="00F72941" w:rsidRPr="00E366AA" w14:paraId="1B394C0E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E810" w14:textId="77777777" w:rsidR="00F72941" w:rsidRPr="00E366AA" w:rsidRDefault="00F72941" w:rsidP="00546B50">
            <w:pPr>
              <w:spacing w:after="240"/>
              <w:jc w:val="center"/>
              <w:rPr>
                <w:bCs/>
                <w:lang w:val="en-GB"/>
              </w:rPr>
            </w:pPr>
            <w:r w:rsidRPr="00E366AA">
              <w:rPr>
                <w:bCs/>
                <w:lang w:val="en-GB"/>
              </w:rPr>
              <w:t>13.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13756F3E" w14:textId="75919C77" w:rsidR="00F72941" w:rsidRPr="00C26723" w:rsidRDefault="00F72941" w:rsidP="00C41B12">
            <w:pPr>
              <w:spacing w:after="240"/>
              <w:jc w:val="both"/>
              <w:rPr>
                <w:bCs/>
                <w:lang w:val="en-GB"/>
              </w:rPr>
            </w:pPr>
            <w:r w:rsidRPr="00C26723">
              <w:rPr>
                <w:b/>
                <w:lang w:val="en-GB"/>
              </w:rPr>
              <w:t>Lecture:</w:t>
            </w:r>
            <w:r w:rsidRPr="00C26723">
              <w:rPr>
                <w:bCs/>
                <w:lang w:val="en-GB"/>
              </w:rPr>
              <w:t xml:space="preserve"> </w:t>
            </w:r>
            <w:r w:rsidR="00C26723" w:rsidRPr="00C26723">
              <w:rPr>
                <w:bCs/>
                <w:lang w:val="en-GB"/>
              </w:rPr>
              <w:t xml:space="preserve"> </w:t>
            </w:r>
            <w:r w:rsidR="00C26723" w:rsidRPr="00C26723">
              <w:rPr>
                <w:lang w:val="en-US"/>
              </w:rPr>
              <w:t>Nucleic Acids</w:t>
            </w:r>
          </w:p>
        </w:tc>
      </w:tr>
      <w:tr w:rsidR="00F72941" w:rsidRPr="00E366AA" w14:paraId="0EE72339" w14:textId="77777777" w:rsidTr="001D7217">
        <w:trPr>
          <w:trHeight w:val="257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8736" w14:textId="77777777" w:rsidR="00F72941" w:rsidRPr="00E366AA" w:rsidRDefault="00F72941" w:rsidP="00546B50">
            <w:pPr>
              <w:spacing w:after="240"/>
              <w:jc w:val="center"/>
              <w:rPr>
                <w:bCs/>
                <w:lang w:val="en-GB"/>
              </w:rPr>
            </w:pPr>
            <w:r w:rsidRPr="00E366AA">
              <w:rPr>
                <w:bCs/>
                <w:lang w:val="en-GB"/>
              </w:rPr>
              <w:t>14.</w:t>
            </w:r>
          </w:p>
        </w:tc>
        <w:tc>
          <w:tcPr>
            <w:tcW w:w="4452" w:type="pct"/>
            <w:gridSpan w:val="4"/>
            <w:shd w:val="clear" w:color="auto" w:fill="auto"/>
            <w:vAlign w:val="center"/>
          </w:tcPr>
          <w:p w14:paraId="10522B11" w14:textId="77777777" w:rsidR="002C5B5E" w:rsidRPr="00304D34" w:rsidRDefault="00C41B12" w:rsidP="002C5B5E">
            <w:pPr>
              <w:pStyle w:val="Lers"/>
              <w:rPr>
                <w:rFonts w:ascii="Times New Roman" w:hAnsi="Times New Roman"/>
                <w:bCs/>
                <w:szCs w:val="20"/>
                <w:lang w:val="en-GB"/>
              </w:rPr>
            </w:pPr>
            <w:r w:rsidRPr="00627D40">
              <w:rPr>
                <w:rFonts w:ascii="Times New Roman" w:hAnsi="Times New Roman"/>
                <w:b/>
                <w:lang w:val="en-GB"/>
              </w:rPr>
              <w:t>Practice:</w:t>
            </w:r>
            <w:r w:rsidR="00C26723" w:rsidRPr="00627D4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2C5B5E" w:rsidRPr="00304D34">
              <w:rPr>
                <w:rFonts w:ascii="Times New Roman" w:hAnsi="Times New Roman"/>
                <w:bCs/>
                <w:szCs w:val="20"/>
                <w:lang w:val="en-GB"/>
              </w:rPr>
              <w:t>Test 3. (organic chemistry) (5 points)</w:t>
            </w:r>
          </w:p>
          <w:p w14:paraId="3B4AEBFD" w14:textId="77777777" w:rsidR="002C5B5E" w:rsidRPr="00C26723" w:rsidRDefault="002C5B5E" w:rsidP="002C5B5E">
            <w:pPr>
              <w:pStyle w:val="Lers"/>
              <w:rPr>
                <w:b/>
                <w:szCs w:val="20"/>
                <w:lang w:val="en-GB"/>
              </w:rPr>
            </w:pPr>
            <w:r w:rsidRPr="00717E9A">
              <w:rPr>
                <w:rFonts w:ascii="Times New Roman" w:hAnsi="Times New Roman"/>
                <w:bCs/>
                <w:szCs w:val="20"/>
                <w:lang w:val="en-GB"/>
              </w:rPr>
              <w:t>Determination of Iodine Bromine number</w:t>
            </w:r>
            <w:r w:rsidRPr="00304D34">
              <w:rPr>
                <w:rFonts w:ascii="Times New Roman" w:hAnsi="Times New Roman"/>
                <w:bCs/>
                <w:szCs w:val="20"/>
                <w:lang w:val="en-GB"/>
              </w:rPr>
              <w:t xml:space="preserve"> (2 points)</w:t>
            </w:r>
          </w:p>
          <w:p w14:paraId="077AD918" w14:textId="444C2752" w:rsidR="001D7217" w:rsidRPr="00C26723" w:rsidRDefault="001D7217" w:rsidP="002C5B5E">
            <w:pPr>
              <w:pStyle w:val="Lers"/>
              <w:rPr>
                <w:b/>
                <w:lang w:val="en-GB"/>
              </w:rPr>
            </w:pPr>
          </w:p>
        </w:tc>
      </w:tr>
      <w:tr w:rsidR="00F72941" w:rsidRPr="00E366AA" w14:paraId="0EB23D61" w14:textId="77777777" w:rsidTr="001D7217">
        <w:trPr>
          <w:trHeight w:val="25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EF7B8" w14:textId="636E4B30" w:rsidR="00F72941" w:rsidRPr="00E366AA" w:rsidRDefault="00F72941" w:rsidP="50ADBC37">
            <w:pPr>
              <w:spacing w:after="240"/>
              <w:jc w:val="center"/>
              <w:rPr>
                <w:rFonts w:eastAsia="Arial Unicode MS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E366AA">
              <w:rPr>
                <w:rFonts w:eastAsia="Arial Unicode MS"/>
                <w:b/>
                <w:bCs/>
                <w:i/>
                <w:iCs/>
                <w:sz w:val="22"/>
                <w:szCs w:val="22"/>
                <w:lang w:val="en-GB"/>
              </w:rPr>
              <w:t>Mid-term requirements</w:t>
            </w:r>
            <w:r w:rsidR="0872BEBD" w:rsidRPr="00E366AA">
              <w:rPr>
                <w:rFonts w:eastAsia="Arial Unicode MS"/>
                <w:b/>
                <w:bCs/>
                <w:i/>
                <w:iCs/>
                <w:sz w:val="22"/>
                <w:szCs w:val="22"/>
                <w:lang w:val="en-GB"/>
              </w:rPr>
              <w:t>:</w:t>
            </w:r>
          </w:p>
        </w:tc>
      </w:tr>
      <w:tr w:rsidR="00F72941" w:rsidRPr="00E366AA" w14:paraId="418C8681" w14:textId="77777777" w:rsidTr="001D7217">
        <w:trPr>
          <w:trHeight w:val="81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E960D7" w14:textId="77777777" w:rsidR="00F72941" w:rsidRPr="00E366AA" w:rsidRDefault="00F72941" w:rsidP="50ADBC37">
            <w:pPr>
              <w:spacing w:after="240"/>
              <w:rPr>
                <w:i/>
                <w:iCs/>
                <w:sz w:val="22"/>
                <w:szCs w:val="22"/>
                <w:lang w:val="en-GB"/>
              </w:rPr>
            </w:pPr>
            <w:r w:rsidRPr="00E366AA">
              <w:rPr>
                <w:i/>
                <w:iCs/>
                <w:sz w:val="22"/>
                <w:szCs w:val="22"/>
                <w:lang w:val="en-GB"/>
              </w:rPr>
              <w:lastRenderedPageBreak/>
              <w:t>Participation in occupations:</w:t>
            </w:r>
          </w:p>
          <w:p w14:paraId="22351790" w14:textId="1793BD7A" w:rsidR="00F72941" w:rsidRPr="00E366AA" w:rsidRDefault="00F72941" w:rsidP="50ADBC37">
            <w:pPr>
              <w:pStyle w:val="Lers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E366AA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Attendance is </w:t>
            </w:r>
            <w:r w:rsidRPr="00E366AA"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  <w:lang w:val="en-GB"/>
              </w:rPr>
              <w:t>compulsory.</w:t>
            </w:r>
            <w:r w:rsidRPr="00E366AA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="00EF53D5" w:rsidRPr="00E366AA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L</w:t>
            </w:r>
            <w:r w:rsidRPr="00E366AA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ectures + laboratory work</w:t>
            </w:r>
            <w:r w:rsidR="00EF53D5" w:rsidRPr="00E366AA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 (measurements and written tests).</w:t>
            </w:r>
            <w:r w:rsidRPr="00E366AA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69D5A1A9" w14:textId="2EA5E943" w:rsidR="00F72941" w:rsidRPr="00E366AA" w:rsidRDefault="00EF53D5" w:rsidP="50ADBC37">
            <w:pPr>
              <w:pStyle w:val="Lers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366AA">
              <w:rPr>
                <w:rFonts w:ascii="Times New Roman" w:hAnsi="Times New Roman"/>
                <w:sz w:val="22"/>
                <w:szCs w:val="22"/>
                <w:lang w:val="en-GB"/>
              </w:rPr>
              <w:t>The weekly</w:t>
            </w:r>
            <w:r w:rsidR="00F72941" w:rsidRPr="00E366AA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schedule is shown above</w:t>
            </w:r>
            <w:r w:rsidRPr="00E366AA">
              <w:rPr>
                <w:rFonts w:ascii="Times New Roman" w:hAnsi="Times New Roman"/>
                <w:sz w:val="22"/>
                <w:szCs w:val="22"/>
                <w:lang w:val="en-GB"/>
              </w:rPr>
              <w:t>—practice</w:t>
            </w:r>
            <w:r w:rsidR="00F72941" w:rsidRPr="00E366AA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and lecture times </w:t>
            </w:r>
            <w:r w:rsidR="002C5B5E">
              <w:rPr>
                <w:rFonts w:ascii="Times New Roman" w:hAnsi="Times New Roman"/>
                <w:sz w:val="22"/>
                <w:szCs w:val="22"/>
                <w:lang w:val="en-GB"/>
              </w:rPr>
              <w:t>are according to it</w:t>
            </w:r>
            <w:r w:rsidR="00F72941" w:rsidRPr="00E366AA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</w:p>
          <w:p w14:paraId="43A7D2FF" w14:textId="77777777" w:rsidR="00F72941" w:rsidRPr="00E366AA" w:rsidRDefault="00F72941" w:rsidP="50ADBC37">
            <w:pPr>
              <w:pStyle w:val="Lers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366AA">
              <w:rPr>
                <w:rFonts w:ascii="Times New Roman" w:hAnsi="Times New Roman"/>
                <w:sz w:val="22"/>
                <w:szCs w:val="22"/>
                <w:lang w:val="en-GB"/>
              </w:rPr>
              <w:t>It is compulsory to attend lectures and laboratory exercises. Up to 30% of lectures may be missed, but not laboratory exercises.</w:t>
            </w:r>
          </w:p>
          <w:p w14:paraId="18564B1E" w14:textId="2B97778E" w:rsidR="00F72941" w:rsidRPr="00E366AA" w:rsidRDefault="00F72941" w:rsidP="50ADBC37">
            <w:pPr>
              <w:spacing w:after="240"/>
              <w:rPr>
                <w:sz w:val="22"/>
                <w:szCs w:val="22"/>
                <w:lang w:val="en-GB"/>
              </w:rPr>
            </w:pPr>
            <w:r w:rsidRPr="00E366AA">
              <w:rPr>
                <w:sz w:val="22"/>
                <w:szCs w:val="22"/>
                <w:lang w:val="en-GB"/>
              </w:rPr>
              <w:t>Both tasks are mandatory</w:t>
            </w:r>
            <w:r w:rsidR="00EF53D5" w:rsidRPr="00E366AA">
              <w:rPr>
                <w:sz w:val="22"/>
                <w:szCs w:val="22"/>
                <w:lang w:val="en-GB"/>
              </w:rPr>
              <w:t>,</w:t>
            </w:r>
            <w:r w:rsidRPr="00E366AA">
              <w:rPr>
                <w:sz w:val="22"/>
                <w:szCs w:val="22"/>
                <w:lang w:val="en-GB"/>
              </w:rPr>
              <w:t xml:space="preserve"> </w:t>
            </w:r>
            <w:r w:rsidR="00B94124">
              <w:rPr>
                <w:sz w:val="22"/>
                <w:szCs w:val="22"/>
                <w:lang w:val="en-GB"/>
              </w:rPr>
              <w:t>as is participation in the classes</w:t>
            </w:r>
            <w:r w:rsidRPr="00E366AA">
              <w:rPr>
                <w:sz w:val="22"/>
                <w:szCs w:val="22"/>
                <w:lang w:val="en-GB"/>
              </w:rPr>
              <w:t xml:space="preserve">. </w:t>
            </w:r>
            <w:r w:rsidR="002C5B5E">
              <w:rPr>
                <w:sz w:val="22"/>
                <w:szCs w:val="22"/>
                <w:lang w:val="en-GB"/>
              </w:rPr>
              <w:t>Meeting the two specified minimums is a condition for getting</w:t>
            </w:r>
            <w:r w:rsidRPr="00E366AA">
              <w:rPr>
                <w:sz w:val="22"/>
                <w:szCs w:val="22"/>
                <w:lang w:val="en-GB"/>
              </w:rPr>
              <w:t xml:space="preserve"> a sign and a note.</w:t>
            </w:r>
          </w:p>
        </w:tc>
      </w:tr>
      <w:tr w:rsidR="00F72941" w:rsidRPr="002C5B5E" w14:paraId="574F3700" w14:textId="77777777" w:rsidTr="001D7217">
        <w:trPr>
          <w:trHeight w:val="176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10DD14" w14:textId="77777777" w:rsidR="00F72941" w:rsidRPr="00E366AA" w:rsidRDefault="00F72941" w:rsidP="50ADBC37">
            <w:pPr>
              <w:spacing w:after="240"/>
              <w:rPr>
                <w:rFonts w:eastAsia="Arial Unicode MS"/>
                <w:i/>
                <w:iCs/>
                <w:sz w:val="22"/>
                <w:szCs w:val="22"/>
                <w:lang w:val="en-GB"/>
              </w:rPr>
            </w:pPr>
            <w:r w:rsidRPr="00E366AA">
              <w:rPr>
                <w:rFonts w:eastAsia="Arial Unicode MS"/>
                <w:i/>
                <w:iCs/>
                <w:sz w:val="22"/>
                <w:szCs w:val="22"/>
                <w:lang w:val="en-GB"/>
              </w:rPr>
              <w:t>Midterms, protocols, reports, etc.:</w:t>
            </w:r>
          </w:p>
          <w:p w14:paraId="2A6B7F8F" w14:textId="7E491EB6" w:rsidR="00C41B12" w:rsidRPr="00D472BF" w:rsidRDefault="00C41B12" w:rsidP="00C41B12">
            <w:pPr>
              <w:pStyle w:val="Lers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2BF">
              <w:rPr>
                <w:rFonts w:ascii="Times New Roman" w:hAnsi="Times New Roman"/>
                <w:sz w:val="22"/>
                <w:szCs w:val="22"/>
                <w:lang w:val="en-US"/>
              </w:rPr>
              <w:t>1) During the laboratory practice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Pr="00D472B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9C4BC7">
              <w:rPr>
                <w:rFonts w:ascii="Times New Roman" w:hAnsi="Times New Roman"/>
                <w:sz w:val="22"/>
                <w:szCs w:val="22"/>
                <w:lang w:val="en-US"/>
              </w:rPr>
              <w:t>three</w:t>
            </w:r>
            <w:r w:rsidRPr="00D472B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short calculation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tests</w:t>
            </w:r>
            <w:r w:rsidRPr="00D472B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will be written (it is worth up to 5 points) (</w:t>
            </w:r>
            <w:r w:rsidR="006F49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 </w:t>
            </w:r>
            <w:r w:rsidRPr="00D472B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total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of </w:t>
            </w:r>
            <w:r w:rsidRPr="00D472BF">
              <w:rPr>
                <w:rFonts w:ascii="Times New Roman" w:hAnsi="Times New Roman"/>
                <w:sz w:val="22"/>
                <w:szCs w:val="22"/>
                <w:lang w:val="en-US"/>
              </w:rPr>
              <w:t>15 points)</w:t>
            </w:r>
          </w:p>
          <w:p w14:paraId="790963E4" w14:textId="77777777" w:rsidR="00C41B12" w:rsidRPr="00D472BF" w:rsidRDefault="00C41B12" w:rsidP="00C41B12">
            <w:pPr>
              <w:pStyle w:val="Lers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2B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2) Laboratory measurements are worth up to 2 points each (total 10 points). </w:t>
            </w:r>
          </w:p>
          <w:p w14:paraId="784A24F3" w14:textId="6A854A74" w:rsidR="00C41B12" w:rsidRPr="00D472BF" w:rsidRDefault="00C41B12" w:rsidP="00C41B12">
            <w:pPr>
              <w:pStyle w:val="Lers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2B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The written exercises and submitted laboratory protocols must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fulfil</w:t>
            </w:r>
            <w:r w:rsidRPr="00D472B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a minimum of 13 points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out of</w:t>
            </w:r>
            <w:r w:rsidRPr="00D472B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25 points. </w:t>
            </w:r>
          </w:p>
          <w:p w14:paraId="4F7879AF" w14:textId="555B1FE8" w:rsidR="00C41B12" w:rsidRPr="00D472BF" w:rsidRDefault="00C41B12" w:rsidP="00C41B12">
            <w:pPr>
              <w:pStyle w:val="Lers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2BF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3) The theoretical classroom test will be in the period of exams (up to 75 points can be achieved - minimum: 38 points) </w:t>
            </w:r>
          </w:p>
          <w:p w14:paraId="5BE10EB5" w14:textId="704B1EA6" w:rsidR="00C41B12" w:rsidRPr="00D472BF" w:rsidRDefault="00C41B12" w:rsidP="00C41B12">
            <w:pPr>
              <w:pStyle w:val="Lers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The weekly schedule is shown above, and practice and lecture times are </w:t>
            </w:r>
            <w:r w:rsidR="002C5B5E">
              <w:rPr>
                <w:rFonts w:ascii="Times New Roman" w:hAnsi="Times New Roman"/>
                <w:sz w:val="22"/>
                <w:szCs w:val="22"/>
                <w:lang w:val="en-US"/>
              </w:rPr>
              <w:t>as scheduled</w:t>
            </w:r>
            <w:r w:rsidRPr="00D472BF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  <w:p w14:paraId="06F099F6" w14:textId="41C56471" w:rsidR="00F72941" w:rsidRPr="00E366AA" w:rsidRDefault="00F72941" w:rsidP="00C41B12">
            <w:pPr>
              <w:pStyle w:val="Lers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72941" w:rsidRPr="00E366AA" w14:paraId="525B879A" w14:textId="77777777" w:rsidTr="001D7217">
        <w:trPr>
          <w:trHeight w:val="150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FDE387" w14:textId="1677DBAA" w:rsidR="00F72941" w:rsidRDefault="00F72941" w:rsidP="50ADBC37">
            <w:pPr>
              <w:spacing w:after="240"/>
              <w:rPr>
                <w:rFonts w:eastAsia="Arial Unicode MS"/>
                <w:i/>
                <w:iCs/>
                <w:sz w:val="22"/>
                <w:szCs w:val="22"/>
                <w:lang w:val="en-GB"/>
              </w:rPr>
            </w:pPr>
            <w:r w:rsidRPr="00E366AA">
              <w:rPr>
                <w:rFonts w:eastAsia="Arial Unicode MS"/>
                <w:i/>
                <w:iCs/>
                <w:sz w:val="22"/>
                <w:szCs w:val="22"/>
                <w:lang w:val="en-GB"/>
              </w:rPr>
              <w:t xml:space="preserve">The method of obtaining a </w:t>
            </w:r>
            <w:r w:rsidR="00EF53D5" w:rsidRPr="00E366AA">
              <w:rPr>
                <w:rFonts w:eastAsia="Arial Unicode MS"/>
                <w:i/>
                <w:iCs/>
                <w:sz w:val="22"/>
                <w:szCs w:val="22"/>
                <w:lang w:val="en-GB"/>
              </w:rPr>
              <w:t>signature/exam</w:t>
            </w:r>
            <w:r w:rsidRPr="00E366AA">
              <w:rPr>
                <w:rFonts w:eastAsia="Arial Unicode MS"/>
                <w:i/>
                <w:iCs/>
                <w:sz w:val="22"/>
                <w:szCs w:val="22"/>
                <w:lang w:val="en-GB"/>
              </w:rPr>
              <w:t xml:space="preserve"> mark:</w:t>
            </w:r>
          </w:p>
          <w:p w14:paraId="2F2679C1" w14:textId="77777777" w:rsidR="009C4BC7" w:rsidRPr="00D472BF" w:rsidRDefault="009C4BC7" w:rsidP="009C4BC7">
            <w:pPr>
              <w:pStyle w:val="Lers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2BF">
              <w:rPr>
                <w:rFonts w:ascii="Times New Roman" w:hAnsi="Times New Roman"/>
                <w:sz w:val="22"/>
                <w:szCs w:val="22"/>
                <w:lang w:val="en-US"/>
              </w:rPr>
              <w:t>Marks:</w:t>
            </w:r>
          </w:p>
          <w:p w14:paraId="7219B28F" w14:textId="77777777" w:rsidR="009C4BC7" w:rsidRPr="00D472BF" w:rsidRDefault="009C4BC7" w:rsidP="009C4BC7">
            <w:pPr>
              <w:pStyle w:val="Lers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&gt;50: 1</w:t>
            </w:r>
            <w:r w:rsidRPr="00D472BF">
              <w:rPr>
                <w:rFonts w:ascii="Times New Roman" w:hAnsi="Times New Roman"/>
                <w:sz w:val="22"/>
                <w:szCs w:val="22"/>
                <w:lang w:val="en-US"/>
              </w:rPr>
              <w:t>; 51-60: 2; 61-75: 3; 76-85: 4; 86-100: 5</w:t>
            </w:r>
          </w:p>
          <w:p w14:paraId="25B9576C" w14:textId="7392E2FD" w:rsidR="00F72941" w:rsidRPr="00E366AA" w:rsidRDefault="0032561A" w:rsidP="000C4510">
            <w:pPr>
              <w:spacing w:after="240"/>
              <w:jc w:val="both"/>
              <w:rPr>
                <w:sz w:val="22"/>
                <w:szCs w:val="22"/>
                <w:lang w:val="en-GB"/>
              </w:rPr>
            </w:pPr>
            <w:r w:rsidRPr="0032561A">
              <w:rPr>
                <w:sz w:val="22"/>
                <w:szCs w:val="22"/>
                <w:lang w:val="en-US"/>
              </w:rPr>
              <w:t xml:space="preserve">In the </w:t>
            </w:r>
            <w:r w:rsidR="002C5B5E">
              <w:rPr>
                <w:sz w:val="22"/>
                <w:szCs w:val="22"/>
                <w:lang w:val="en-US"/>
              </w:rPr>
              <w:t>event of failure of the mid-term mark (1), a correction is possible under</w:t>
            </w:r>
            <w:r w:rsidRPr="0032561A">
              <w:rPr>
                <w:sz w:val="22"/>
                <w:szCs w:val="22"/>
                <w:lang w:val="en-US"/>
              </w:rPr>
              <w:t xml:space="preserve"> the Student Requirements Regulation (HRR).</w:t>
            </w:r>
          </w:p>
        </w:tc>
      </w:tr>
      <w:tr w:rsidR="00347FB7" w:rsidRPr="00E366AA" w14:paraId="646F7687" w14:textId="77777777" w:rsidTr="001D7217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783D" w14:textId="77777777" w:rsidR="00347FB7" w:rsidRPr="00E366AA" w:rsidRDefault="00347FB7" w:rsidP="005D7FED">
            <w:pPr>
              <w:jc w:val="center"/>
              <w:rPr>
                <w:b/>
                <w:i/>
                <w:sz w:val="22"/>
                <w:szCs w:val="22"/>
                <w:lang w:val="en-GB"/>
              </w:rPr>
            </w:pPr>
            <w:r w:rsidRPr="00E366AA">
              <w:rPr>
                <w:b/>
                <w:i/>
                <w:sz w:val="22"/>
                <w:szCs w:val="22"/>
                <w:lang w:val="en-GB"/>
              </w:rPr>
              <w:t>Professional competencies:</w:t>
            </w:r>
          </w:p>
        </w:tc>
      </w:tr>
      <w:tr w:rsidR="00347FB7" w:rsidRPr="00E366AA" w14:paraId="6C61F734" w14:textId="77777777" w:rsidTr="001D7217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05FE" w14:textId="77777777" w:rsidR="00347FB7" w:rsidRPr="00E366AA" w:rsidRDefault="00347FB7" w:rsidP="005D7FED">
            <w:pPr>
              <w:jc w:val="center"/>
              <w:rPr>
                <w:b/>
                <w:i/>
                <w:sz w:val="22"/>
                <w:szCs w:val="22"/>
                <w:lang w:val="en-GB"/>
              </w:rPr>
            </w:pPr>
          </w:p>
          <w:p w14:paraId="11A998CC" w14:textId="517BBF76" w:rsidR="00347FB7" w:rsidRPr="00E366AA" w:rsidRDefault="00347FB7" w:rsidP="50ADBC37">
            <w:pPr>
              <w:pStyle w:val="Listaszerbekezds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GB"/>
              </w:rPr>
            </w:pPr>
            <w:r w:rsidRPr="00E366AA">
              <w:rPr>
                <w:sz w:val="22"/>
                <w:szCs w:val="22"/>
                <w:lang w:val="en-GB"/>
              </w:rPr>
              <w:t xml:space="preserve">Knowledge of general and specific mathematical, </w:t>
            </w:r>
            <w:r w:rsidR="00EF53D5" w:rsidRPr="00E366AA">
              <w:rPr>
                <w:sz w:val="22"/>
                <w:szCs w:val="22"/>
                <w:lang w:val="en-GB"/>
              </w:rPr>
              <w:t>natural,</w:t>
            </w:r>
            <w:r w:rsidRPr="00E366AA">
              <w:rPr>
                <w:sz w:val="22"/>
                <w:szCs w:val="22"/>
                <w:lang w:val="en-GB"/>
              </w:rPr>
              <w:t xml:space="preserve"> and social scientific principles, rules, relations, and procedures as required to pursue activities in the </w:t>
            </w:r>
            <w:r w:rsidR="00B94124">
              <w:rPr>
                <w:sz w:val="22"/>
                <w:szCs w:val="22"/>
                <w:lang w:val="en-GB"/>
              </w:rPr>
              <w:t>field</w:t>
            </w:r>
            <w:r w:rsidRPr="00E366AA">
              <w:rPr>
                <w:sz w:val="22"/>
                <w:szCs w:val="22"/>
                <w:lang w:val="en-GB"/>
              </w:rPr>
              <w:t xml:space="preserve"> of </w:t>
            </w:r>
            <w:r w:rsidR="002C5B5E">
              <w:rPr>
                <w:sz w:val="22"/>
                <w:szCs w:val="22"/>
                <w:lang w:val="en-GB"/>
              </w:rPr>
              <w:t>environmental</w:t>
            </w:r>
            <w:r w:rsidRPr="00E366AA">
              <w:rPr>
                <w:sz w:val="22"/>
                <w:szCs w:val="22"/>
                <w:lang w:val="en-GB"/>
              </w:rPr>
              <w:t xml:space="preserve"> protection. </w:t>
            </w:r>
          </w:p>
          <w:p w14:paraId="32579470" w14:textId="1AE6AC15" w:rsidR="00347FB7" w:rsidRPr="00E366AA" w:rsidRDefault="00347FB7" w:rsidP="50ADBC37">
            <w:pPr>
              <w:pStyle w:val="Listaszerbekezds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GB"/>
              </w:rPr>
            </w:pPr>
            <w:r w:rsidRPr="00E366AA">
              <w:rPr>
                <w:sz w:val="22"/>
                <w:szCs w:val="22"/>
                <w:lang w:val="en-GB"/>
              </w:rPr>
              <w:t>Comprehensive knowledge of the basic features and interrelations of environmental elements and systems</w:t>
            </w:r>
            <w:r w:rsidR="002C5B5E">
              <w:rPr>
                <w:sz w:val="22"/>
                <w:szCs w:val="22"/>
                <w:lang w:val="en-GB"/>
              </w:rPr>
              <w:t>,</w:t>
            </w:r>
            <w:r w:rsidR="00EF53D5" w:rsidRPr="00E366AA">
              <w:rPr>
                <w:sz w:val="22"/>
                <w:szCs w:val="22"/>
                <w:lang w:val="en-GB"/>
              </w:rPr>
              <w:t xml:space="preserve"> and</w:t>
            </w:r>
            <w:r w:rsidRPr="00E366AA">
              <w:rPr>
                <w:sz w:val="22"/>
                <w:szCs w:val="22"/>
                <w:lang w:val="en-GB"/>
              </w:rPr>
              <w:t xml:space="preserve"> the environmentally harmful substances affecting them. </w:t>
            </w:r>
          </w:p>
          <w:p w14:paraId="64E66DB8" w14:textId="2CC1BA67" w:rsidR="00347FB7" w:rsidRPr="00E366AA" w:rsidRDefault="00347FB7" w:rsidP="50ADBC37">
            <w:pPr>
              <w:pStyle w:val="Listaszerbekezds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GB"/>
              </w:rPr>
            </w:pPr>
            <w:r w:rsidRPr="00E366AA">
              <w:rPr>
                <w:sz w:val="22"/>
                <w:szCs w:val="22"/>
                <w:lang w:val="en-GB"/>
              </w:rPr>
              <w:t xml:space="preserve">Knowledge of the main methods to examine the quantity and quality features of environmental elements and systems, their typical measuring </w:t>
            </w:r>
            <w:r w:rsidR="006F498E" w:rsidRPr="00E366AA">
              <w:rPr>
                <w:sz w:val="22"/>
                <w:szCs w:val="22"/>
                <w:lang w:val="en-GB"/>
              </w:rPr>
              <w:t>instruments</w:t>
            </w:r>
            <w:r w:rsidRPr="00E366AA">
              <w:rPr>
                <w:sz w:val="22"/>
                <w:szCs w:val="22"/>
                <w:lang w:val="en-GB"/>
              </w:rPr>
              <w:t xml:space="preserve"> and limitations</w:t>
            </w:r>
            <w:r w:rsidR="000C4510">
              <w:rPr>
                <w:sz w:val="22"/>
                <w:szCs w:val="22"/>
                <w:lang w:val="en-GB"/>
              </w:rPr>
              <w:t>, and methods for evaluating measured data</w:t>
            </w:r>
            <w:r w:rsidRPr="00E366AA">
              <w:rPr>
                <w:sz w:val="22"/>
                <w:szCs w:val="22"/>
                <w:lang w:val="en-GB"/>
              </w:rPr>
              <w:t xml:space="preserve">. </w:t>
            </w:r>
          </w:p>
          <w:p w14:paraId="770C0E4C" w14:textId="384CA4B0" w:rsidR="00347FB7" w:rsidRPr="00E366AA" w:rsidRDefault="00347FB7" w:rsidP="50ADBC37">
            <w:pPr>
              <w:pStyle w:val="Listaszerbekezds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GB"/>
              </w:rPr>
            </w:pPr>
            <w:r w:rsidRPr="00E366AA">
              <w:rPr>
                <w:sz w:val="22"/>
                <w:szCs w:val="22"/>
                <w:lang w:val="en-GB"/>
              </w:rPr>
              <w:t xml:space="preserve">Able to perform basic tests of the quantity and quality characteristics of environmental elements and systems </w:t>
            </w:r>
            <w:r w:rsidR="00EF53D5" w:rsidRPr="00E366AA">
              <w:rPr>
                <w:sz w:val="22"/>
                <w:szCs w:val="22"/>
                <w:lang w:val="en-GB"/>
              </w:rPr>
              <w:t xml:space="preserve">using state-of-the-art measuring instruments; draw up and implement measurement plans; and </w:t>
            </w:r>
            <w:r w:rsidRPr="00E366AA">
              <w:rPr>
                <w:sz w:val="22"/>
                <w:szCs w:val="22"/>
                <w:lang w:val="en-GB"/>
              </w:rPr>
              <w:t xml:space="preserve">evaluate data. </w:t>
            </w:r>
          </w:p>
          <w:p w14:paraId="248D6D60" w14:textId="4D65F31D" w:rsidR="00347FB7" w:rsidRPr="00E366AA" w:rsidRDefault="00347FB7" w:rsidP="50ADBC37">
            <w:pPr>
              <w:pStyle w:val="Listaszerbekezds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GB"/>
              </w:rPr>
            </w:pPr>
            <w:r w:rsidRPr="00E366AA">
              <w:rPr>
                <w:sz w:val="22"/>
                <w:szCs w:val="22"/>
                <w:lang w:val="en-GB"/>
              </w:rPr>
              <w:t xml:space="preserve">Able to solve tasks of water, soil, air, radiation, and noise protection, as well as waste treatment and processing at </w:t>
            </w:r>
            <w:r w:rsidR="00EF53D5" w:rsidRPr="00E366AA">
              <w:rPr>
                <w:sz w:val="22"/>
                <w:szCs w:val="22"/>
                <w:lang w:val="en-GB"/>
              </w:rPr>
              <w:t xml:space="preserve">the </w:t>
            </w:r>
            <w:r w:rsidRPr="00E366AA">
              <w:rPr>
                <w:sz w:val="22"/>
                <w:szCs w:val="22"/>
                <w:lang w:val="en-GB"/>
              </w:rPr>
              <w:t xml:space="preserve">proposal level; to participate in preparing decisions; to perform authority audits; and to take part in the operation of these technologies. </w:t>
            </w:r>
          </w:p>
          <w:p w14:paraId="59C216A1" w14:textId="48BDFEBC" w:rsidR="00347FB7" w:rsidRPr="00E366AA" w:rsidRDefault="00347FB7" w:rsidP="50ADBC37">
            <w:pPr>
              <w:pStyle w:val="Listaszerbekezds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GB"/>
              </w:rPr>
            </w:pPr>
            <w:r w:rsidRPr="00E366AA">
              <w:rPr>
                <w:sz w:val="22"/>
                <w:szCs w:val="22"/>
                <w:lang w:val="en-GB"/>
              </w:rPr>
              <w:t xml:space="preserve">Able to reveal deficiencies in the technologies applied and process risks and initiate mitigation measures after </w:t>
            </w:r>
            <w:r w:rsidR="00B94124">
              <w:rPr>
                <w:sz w:val="22"/>
                <w:szCs w:val="22"/>
                <w:lang w:val="en-GB"/>
              </w:rPr>
              <w:t>becoming familiar</w:t>
            </w:r>
            <w:r w:rsidRPr="00E366AA">
              <w:rPr>
                <w:sz w:val="22"/>
                <w:szCs w:val="22"/>
                <w:lang w:val="en-GB"/>
              </w:rPr>
              <w:t xml:space="preserve"> with the technology concerned.</w:t>
            </w:r>
          </w:p>
          <w:p w14:paraId="60A9C7C7" w14:textId="7950C8EF" w:rsidR="00347FB7" w:rsidRPr="00E366AA" w:rsidRDefault="00347FB7" w:rsidP="50ADBC37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347FB7" w:rsidRPr="00E366AA" w14:paraId="3CD81A89" w14:textId="77777777" w:rsidTr="001D7217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84E6" w14:textId="6899B689" w:rsidR="00347FB7" w:rsidRPr="00E366AA" w:rsidRDefault="00347FB7" w:rsidP="50ADBC37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E366AA">
              <w:rPr>
                <w:b/>
                <w:bCs/>
                <w:i/>
                <w:iCs/>
                <w:sz w:val="22"/>
                <w:szCs w:val="22"/>
                <w:lang w:val="en-GB"/>
              </w:rPr>
              <w:t>Literature</w:t>
            </w:r>
            <w:r w:rsidR="4717A3EE" w:rsidRPr="00E366AA">
              <w:rPr>
                <w:b/>
                <w:bCs/>
                <w:i/>
                <w:iCs/>
                <w:sz w:val="22"/>
                <w:szCs w:val="22"/>
                <w:lang w:val="en-GB"/>
              </w:rPr>
              <w:t>:</w:t>
            </w:r>
          </w:p>
        </w:tc>
      </w:tr>
      <w:tr w:rsidR="00347FB7" w:rsidRPr="00E366AA" w14:paraId="588F6217" w14:textId="77777777" w:rsidTr="001D7217">
        <w:trPr>
          <w:trHeight w:val="167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48140" w14:textId="77777777" w:rsidR="00C41B12" w:rsidRDefault="00C41B12" w:rsidP="00C41B12">
            <w:pPr>
              <w:pStyle w:val="Lers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72BF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Compulsory:</w:t>
            </w:r>
          </w:p>
          <w:p w14:paraId="2C363D90" w14:textId="46EDE0E7" w:rsidR="00C41B12" w:rsidRDefault="00C41B12" w:rsidP="00C41B12">
            <w:pPr>
              <w:pStyle w:val="Lers"/>
              <w:jc w:val="left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 </w:t>
            </w:r>
            <w:r w:rsidRPr="00D472BF">
              <w:rPr>
                <w:rFonts w:ascii="Times New Roman" w:hAnsi="Times New Roman"/>
                <w:sz w:val="22"/>
                <w:szCs w:val="22"/>
                <w:lang w:val="en-US"/>
              </w:rPr>
              <w:t>e-book: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D472BF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Ebbing-Gammon: General Chemistry, Houghton Mifflin Company, Boston</w:t>
            </w:r>
            <w:r w:rsidR="002C5B5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,</w:t>
            </w:r>
            <w:r w:rsidRPr="00D472BF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New York, 2007 (in the e-learning system)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Chapter: Organic Chemistry</w:t>
            </w:r>
          </w:p>
          <w:p w14:paraId="183ADAFD" w14:textId="77777777" w:rsidR="00347FB7" w:rsidRDefault="00C41B12" w:rsidP="00C41B12">
            <w:pPr>
              <w:pStyle w:val="Lers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 </w:t>
            </w:r>
            <w:r w:rsidRPr="00D472BF">
              <w:rPr>
                <w:rFonts w:ascii="Times New Roman" w:hAnsi="Times New Roman"/>
                <w:sz w:val="22"/>
                <w:szCs w:val="22"/>
                <w:lang w:val="en-US"/>
              </w:rPr>
              <w:t>lecture presentations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D472BF">
              <w:rPr>
                <w:rFonts w:ascii="Times New Roman" w:hAnsi="Times New Roman"/>
                <w:sz w:val="22"/>
                <w:szCs w:val="22"/>
                <w:lang w:val="en-US"/>
              </w:rPr>
              <w:t>in the system e-learning</w:t>
            </w:r>
          </w:p>
          <w:p w14:paraId="382856B8" w14:textId="77777777" w:rsidR="00C41B12" w:rsidRDefault="00C41B12" w:rsidP="00C41B12">
            <w:pPr>
              <w:pStyle w:val="Lers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41B12">
              <w:rPr>
                <w:rFonts w:ascii="Times New Roman" w:hAnsi="Times New Roman"/>
                <w:sz w:val="22"/>
                <w:szCs w:val="22"/>
                <w:lang w:val="en-GB"/>
              </w:rPr>
              <w:t>Recommended:</w:t>
            </w:r>
          </w:p>
          <w:p w14:paraId="0C594A98" w14:textId="742F2231" w:rsidR="00C41B12" w:rsidRPr="00C41B12" w:rsidRDefault="009C4BC7" w:rsidP="00C41B12">
            <w:pPr>
              <w:pStyle w:val="Lers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9C4BC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John D. Roberts, Ross Stewart, Marjorie C. </w:t>
            </w:r>
            <w:proofErr w:type="spellStart"/>
            <w:r w:rsidRPr="009C4BC7">
              <w:rPr>
                <w:rFonts w:ascii="Times New Roman" w:hAnsi="Times New Roman"/>
                <w:sz w:val="22"/>
                <w:szCs w:val="22"/>
                <w:lang w:val="en-GB"/>
              </w:rPr>
              <w:t>Caserio</w:t>
            </w:r>
            <w:proofErr w:type="spellEnd"/>
            <w:r w:rsidRPr="009C4BC7">
              <w:rPr>
                <w:rFonts w:ascii="Times New Roman" w:hAnsi="Times New Roman"/>
                <w:sz w:val="22"/>
                <w:szCs w:val="22"/>
                <w:lang w:val="en-GB"/>
              </w:rPr>
              <w:t>: Organic Chemistry: Methane to macro-molecules, Publisher: W. A. Benjamin, INC., New York</w:t>
            </w:r>
            <w:r w:rsidR="002C5B5E">
              <w:rPr>
                <w:rFonts w:ascii="Times New Roman" w:hAnsi="Times New Roman"/>
                <w:sz w:val="22"/>
                <w:szCs w:val="22"/>
                <w:lang w:val="en-GB"/>
              </w:rPr>
              <w:t>,</w:t>
            </w:r>
            <w:r w:rsidRPr="009C4BC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1971</w:t>
            </w:r>
          </w:p>
        </w:tc>
      </w:tr>
    </w:tbl>
    <w:p w14:paraId="6F32A3DA" w14:textId="77777777" w:rsidR="00087DDC" w:rsidRPr="00E366AA" w:rsidRDefault="00087DDC">
      <w:pPr>
        <w:rPr>
          <w:lang w:val="en-GB"/>
        </w:rPr>
      </w:pPr>
    </w:p>
    <w:sectPr w:rsidR="00087DDC" w:rsidRPr="00E36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417"/>
    <w:multiLevelType w:val="hybridMultilevel"/>
    <w:tmpl w:val="6936ACFA"/>
    <w:lvl w:ilvl="0" w:tplc="8F1210CC">
      <w:start w:val="1"/>
      <w:numFmt w:val="decimal"/>
      <w:lvlText w:val="%1."/>
      <w:lvlJc w:val="left"/>
      <w:pPr>
        <w:ind w:left="720" w:hanging="360"/>
      </w:pPr>
    </w:lvl>
    <w:lvl w:ilvl="1" w:tplc="AD8EBD24">
      <w:start w:val="1"/>
      <w:numFmt w:val="lowerLetter"/>
      <w:lvlText w:val="%2."/>
      <w:lvlJc w:val="left"/>
      <w:pPr>
        <w:ind w:left="1440" w:hanging="360"/>
      </w:pPr>
    </w:lvl>
    <w:lvl w:ilvl="2" w:tplc="885E0112">
      <w:start w:val="1"/>
      <w:numFmt w:val="lowerRoman"/>
      <w:lvlText w:val="%3."/>
      <w:lvlJc w:val="right"/>
      <w:pPr>
        <w:ind w:left="2160" w:hanging="180"/>
      </w:pPr>
    </w:lvl>
    <w:lvl w:ilvl="3" w:tplc="50F671CE">
      <w:start w:val="1"/>
      <w:numFmt w:val="decimal"/>
      <w:lvlText w:val="%4."/>
      <w:lvlJc w:val="left"/>
      <w:pPr>
        <w:ind w:left="2880" w:hanging="360"/>
      </w:pPr>
    </w:lvl>
    <w:lvl w:ilvl="4" w:tplc="8C10B862">
      <w:start w:val="1"/>
      <w:numFmt w:val="lowerLetter"/>
      <w:lvlText w:val="%5."/>
      <w:lvlJc w:val="left"/>
      <w:pPr>
        <w:ind w:left="3600" w:hanging="360"/>
      </w:pPr>
    </w:lvl>
    <w:lvl w:ilvl="5" w:tplc="FB70AF1A">
      <w:start w:val="1"/>
      <w:numFmt w:val="lowerRoman"/>
      <w:lvlText w:val="%6."/>
      <w:lvlJc w:val="right"/>
      <w:pPr>
        <w:ind w:left="4320" w:hanging="180"/>
      </w:pPr>
    </w:lvl>
    <w:lvl w:ilvl="6" w:tplc="19181700">
      <w:start w:val="1"/>
      <w:numFmt w:val="decimal"/>
      <w:lvlText w:val="%7."/>
      <w:lvlJc w:val="left"/>
      <w:pPr>
        <w:ind w:left="5040" w:hanging="360"/>
      </w:pPr>
    </w:lvl>
    <w:lvl w:ilvl="7" w:tplc="AAFAEE4C">
      <w:start w:val="1"/>
      <w:numFmt w:val="lowerLetter"/>
      <w:lvlText w:val="%8."/>
      <w:lvlJc w:val="left"/>
      <w:pPr>
        <w:ind w:left="5760" w:hanging="360"/>
      </w:pPr>
    </w:lvl>
    <w:lvl w:ilvl="8" w:tplc="5C8001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9D6C"/>
    <w:multiLevelType w:val="hybridMultilevel"/>
    <w:tmpl w:val="02B097BE"/>
    <w:lvl w:ilvl="0" w:tplc="E9422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F45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7E7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4A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C11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29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04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63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6E5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345401">
    <w:abstractNumId w:val="0"/>
  </w:num>
  <w:num w:numId="2" w16cid:durableId="2021657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rAwMjUxNbWwMDY1MjFR0lEKTi0uzszPAykwrgUACUBw+CwAAAA="/>
  </w:docVars>
  <w:rsids>
    <w:rsidRoot w:val="00347FB7"/>
    <w:rsid w:val="00087DDC"/>
    <w:rsid w:val="00094750"/>
    <w:rsid w:val="000C4510"/>
    <w:rsid w:val="00150AC7"/>
    <w:rsid w:val="001D7217"/>
    <w:rsid w:val="0025241A"/>
    <w:rsid w:val="002C5B5E"/>
    <w:rsid w:val="00304D34"/>
    <w:rsid w:val="0031180B"/>
    <w:rsid w:val="0032561A"/>
    <w:rsid w:val="00347FB7"/>
    <w:rsid w:val="004344B6"/>
    <w:rsid w:val="00464B91"/>
    <w:rsid w:val="00546B50"/>
    <w:rsid w:val="006175AE"/>
    <w:rsid w:val="00627D40"/>
    <w:rsid w:val="006F498E"/>
    <w:rsid w:val="00717E9A"/>
    <w:rsid w:val="00982C3F"/>
    <w:rsid w:val="009C4BC7"/>
    <w:rsid w:val="00A24D5C"/>
    <w:rsid w:val="00AE6478"/>
    <w:rsid w:val="00B94124"/>
    <w:rsid w:val="00C26723"/>
    <w:rsid w:val="00C41B12"/>
    <w:rsid w:val="00E366AA"/>
    <w:rsid w:val="00E50C52"/>
    <w:rsid w:val="00EB37BA"/>
    <w:rsid w:val="00EF53D5"/>
    <w:rsid w:val="00F72941"/>
    <w:rsid w:val="00FF6F30"/>
    <w:rsid w:val="0872BEBD"/>
    <w:rsid w:val="0BA39A22"/>
    <w:rsid w:val="1183F695"/>
    <w:rsid w:val="14BB9757"/>
    <w:rsid w:val="1B11B07E"/>
    <w:rsid w:val="37452185"/>
    <w:rsid w:val="4717A3EE"/>
    <w:rsid w:val="50ADBC37"/>
    <w:rsid w:val="6AFF9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2497F"/>
  <w15:chartTrackingRefBased/>
  <w15:docId w15:val="{EF736ACD-6506-48B3-9920-3B0CEA6B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7F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9"/>
    <w:qFormat/>
    <w:rsid w:val="00C41B12"/>
    <w:pPr>
      <w:keepNext/>
      <w:widowControl w:val="0"/>
      <w:autoSpaceDE w:val="0"/>
      <w:autoSpaceDN w:val="0"/>
      <w:adjustRightInd w:val="0"/>
      <w:spacing w:before="40" w:after="40"/>
      <w:jc w:val="center"/>
      <w:outlineLvl w:val="0"/>
    </w:pPr>
    <w:rPr>
      <w:rFonts w:ascii="Arial" w:hAnsi="Arial"/>
      <w:iCs/>
      <w:smallCaps/>
      <w:szCs w:val="24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41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17E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ers">
    <w:name w:val="Leírás"/>
    <w:basedOn w:val="Norml"/>
    <w:uiPriority w:val="99"/>
    <w:rsid w:val="00347FB7"/>
    <w:pPr>
      <w:widowControl w:val="0"/>
      <w:autoSpaceDE w:val="0"/>
      <w:autoSpaceDN w:val="0"/>
      <w:adjustRightInd w:val="0"/>
      <w:spacing w:before="40" w:after="40"/>
      <w:jc w:val="both"/>
    </w:pPr>
    <w:rPr>
      <w:rFonts w:ascii="Arial" w:hAnsi="Arial"/>
      <w:szCs w:val="24"/>
      <w:lang w:eastAsia="en-US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9"/>
    <w:rsid w:val="00C41B12"/>
    <w:rPr>
      <w:rFonts w:ascii="Arial" w:eastAsia="Times New Roman" w:hAnsi="Arial" w:cs="Times New Roman"/>
      <w:iCs/>
      <w:smallCaps/>
      <w:kern w:val="0"/>
      <w:sz w:val="20"/>
      <w:szCs w:val="24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41B1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hu-HU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17E9A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441EDDF9BEE844EA56F818B1FD511E8" ma:contentTypeVersion="3" ma:contentTypeDescription="Új dokumentum létrehozása." ma:contentTypeScope="" ma:versionID="ff34ef2a16ab002426090df80d38bea6">
  <xsd:schema xmlns:xsd="http://www.w3.org/2001/XMLSchema" xmlns:xs="http://www.w3.org/2001/XMLSchema" xmlns:p="http://schemas.microsoft.com/office/2006/metadata/properties" xmlns:ns2="e3386913-36fb-4319-ad0d-41cc24f8ebdc" targetNamespace="http://schemas.microsoft.com/office/2006/metadata/properties" ma:root="true" ma:fieldsID="5d7ff48977d3c49f7ca9e9f63d6930c1" ns2:_="">
    <xsd:import namespace="e3386913-36fb-4319-ad0d-41cc24f8e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86913-36fb-4319-ad0d-41cc24f8e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99D2B-A753-4FB6-AAA5-83586B7AE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86913-36fb-4319-ad0d-41cc24f8e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53D836-9739-4450-8F3C-95C8BBB259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19D747-9470-4427-906B-5F5E29DC77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Bodáné Dr. Kendrovics Rita</dc:creator>
  <cp:keywords/>
  <dc:description/>
  <cp:lastModifiedBy>Bálint Ágnes</cp:lastModifiedBy>
  <cp:revision>3</cp:revision>
  <dcterms:created xsi:type="dcterms:W3CDTF">2026-02-08T12:03:00Z</dcterms:created>
  <dcterms:modified xsi:type="dcterms:W3CDTF">2026-02-08T12:43:00Z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0x0101008441EDDF9BEE844EA56F818B1FD511E8</vt:lpwstr>
  </property>
  <property fmtid="{D5CDD505-2E9C-101B-9397-08002B2CF9AE}" pid="3" name="GrammarlyDocumentId">
    <vt:lpwstr>4ab7133613f37815c3afba05f47362870676b35650c27752b50d535798d8354b</vt:lpwstr>
  </property>
</Properties>
</file>